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69EF" w:rsidRDefault="003169EF" w:rsidP="00AF3F6F">
      <w:pPr>
        <w:pStyle w:val="isselectedend"/>
      </w:pPr>
      <w:r>
        <w:t>Date: 8.3.26</w:t>
      </w:r>
    </w:p>
    <w:p w:rsidR="003169EF" w:rsidRDefault="003169EF" w:rsidP="00AF3F6F">
      <w:pPr>
        <w:pStyle w:val="isselectedend"/>
      </w:pPr>
      <w:r>
        <w:t xml:space="preserve">71/ GM- BEST / illegal extortion by way of heavy interest/ </w:t>
      </w:r>
      <w:proofErr w:type="spellStart"/>
      <w:r>
        <w:t>Sadguru</w:t>
      </w:r>
      <w:proofErr w:type="spellEnd"/>
      <w:r>
        <w:t xml:space="preserve"> café folder and file </w:t>
      </w:r>
    </w:p>
    <w:p w:rsidR="00AF3F6F" w:rsidRDefault="00AF3F6F" w:rsidP="00AF3F6F">
      <w:pPr>
        <w:pStyle w:val="isselectedend"/>
      </w:pPr>
      <w:r>
        <w:t>To</w:t>
      </w:r>
      <w:r>
        <w:br/>
        <w:t>The General Manager</w:t>
      </w:r>
      <w:r>
        <w:br/>
        <w:t>BEST Undertaking</w:t>
      </w:r>
    </w:p>
    <w:p w:rsidR="00AF3F6F" w:rsidRDefault="00AF3F6F" w:rsidP="00AF3F6F">
      <w:pPr>
        <w:pStyle w:val="isselectedend"/>
      </w:pPr>
      <w:r>
        <w:t>And</w:t>
      </w:r>
    </w:p>
    <w:p w:rsidR="00AF3F6F" w:rsidRDefault="00AF3F6F" w:rsidP="00AF3F6F">
      <w:pPr>
        <w:pStyle w:val="isselectedend"/>
      </w:pPr>
      <w:r>
        <w:t>The Secretary</w:t>
      </w:r>
      <w:r>
        <w:br/>
        <w:t>Maharashtra Electricity Regulatory Commission (MERC)</w:t>
      </w:r>
    </w:p>
    <w:p w:rsidR="00AF3F6F" w:rsidRPr="00295AB0" w:rsidRDefault="00AF3F6F" w:rsidP="00295AB0">
      <w:pPr>
        <w:pStyle w:val="isselectedend"/>
        <w:jc w:val="both"/>
        <w:rPr>
          <w:b/>
        </w:rPr>
      </w:pPr>
      <w:r w:rsidRPr="00295AB0">
        <w:rPr>
          <w:b/>
        </w:rPr>
        <w:t>Subject: Representation seeking clarification regarding discriminatory financial structure in electricity billing including low interest on security deposit, excessive delayed payment surcharge, capped rebate and ECS related penalties.</w:t>
      </w:r>
    </w:p>
    <w:p w:rsidR="00AF3F6F" w:rsidRDefault="00AF3F6F" w:rsidP="00AF3F6F">
      <w:pPr>
        <w:pStyle w:val="isselectedend"/>
      </w:pPr>
      <w:r>
        <w:t>Respected Sir/Madam,</w:t>
      </w:r>
    </w:p>
    <w:p w:rsidR="00AF3F6F" w:rsidRDefault="00AF3F6F" w:rsidP="00295AB0">
      <w:pPr>
        <w:pStyle w:val="isselectedend"/>
        <w:numPr>
          <w:ilvl w:val="0"/>
          <w:numId w:val="1"/>
        </w:numPr>
        <w:jc w:val="both"/>
      </w:pPr>
      <w:r>
        <w:t>The present representation is submitted to seek clarification regarding certain billing practices followed by BEST Undertaking which appear to be discriminatory and inconsistent with the principles governing tariff determination and consumer protection under the Electricity Act, 2003.</w:t>
      </w:r>
    </w:p>
    <w:p w:rsidR="00AF3F6F" w:rsidRDefault="00AF3F6F" w:rsidP="00295AB0">
      <w:pPr>
        <w:pStyle w:val="isselectedend"/>
        <w:numPr>
          <w:ilvl w:val="0"/>
          <w:numId w:val="1"/>
        </w:numPr>
        <w:jc w:val="both"/>
      </w:pPr>
      <w:r>
        <w:t>The issues arise primarily from the imbalance between the financial treatment of consumers and the distribution licensee in relation to security deposits, delayed payment surcharge, prompt payment rebates and ECS payment systems.</w:t>
      </w:r>
    </w:p>
    <w:p w:rsidR="00AF3F6F" w:rsidRPr="00295AB0" w:rsidRDefault="00AF3F6F" w:rsidP="00AF3F6F">
      <w:pPr>
        <w:pStyle w:val="isselectedend"/>
        <w:numPr>
          <w:ilvl w:val="0"/>
          <w:numId w:val="1"/>
        </w:numPr>
        <w:rPr>
          <w:b/>
          <w:u w:val="single"/>
        </w:rPr>
      </w:pPr>
      <w:r w:rsidRPr="00295AB0">
        <w:rPr>
          <w:b/>
          <w:u w:val="single"/>
        </w:rPr>
        <w:t>Compulsory Security Deposit and Interest Payable</w:t>
      </w:r>
    </w:p>
    <w:p w:rsidR="00AF3F6F" w:rsidRDefault="00AF3F6F" w:rsidP="00AF3F6F">
      <w:pPr>
        <w:pStyle w:val="isselectedend"/>
      </w:pPr>
      <w:r>
        <w:t>(a) Consumers are required to maintain a compulsory security deposit with the distribution licensee as a condition for supply of electricity.</w:t>
      </w:r>
    </w:p>
    <w:p w:rsidR="00AF3F6F" w:rsidRDefault="00AF3F6F" w:rsidP="00AF3F6F">
      <w:pPr>
        <w:pStyle w:val="isselectedend"/>
      </w:pPr>
      <w:r>
        <w:t>(b) Such security deposit represents funds belonging to consumers but retained by the licensee for operational security.</w:t>
      </w:r>
    </w:p>
    <w:p w:rsidR="00AF3F6F" w:rsidRDefault="00AF3F6F" w:rsidP="00AF3F6F">
      <w:pPr>
        <w:pStyle w:val="isselectedend"/>
      </w:pPr>
      <w:r>
        <w:t xml:space="preserve">(c) The interest presently paid on such security deposit is approximately </w:t>
      </w:r>
      <w:r>
        <w:rPr>
          <w:rStyle w:val="Strong"/>
        </w:rPr>
        <w:t>4% per annum</w:t>
      </w:r>
      <w:r>
        <w:t>.</w:t>
      </w:r>
    </w:p>
    <w:p w:rsidR="00AF3F6F" w:rsidRDefault="00AF3F6F" w:rsidP="00AF3F6F">
      <w:pPr>
        <w:pStyle w:val="isselectedend"/>
      </w:pPr>
      <w:r>
        <w:t xml:space="preserve">(d) Under </w:t>
      </w:r>
      <w:r>
        <w:rPr>
          <w:rStyle w:val="Strong"/>
        </w:rPr>
        <w:t>Section 47(4) of the Electricity Act, 2003</w:t>
      </w:r>
      <w:r>
        <w:t>, the distribution licensee is required to pay interest on the security deposit collected from consumers.</w:t>
      </w:r>
    </w:p>
    <w:p w:rsidR="00AF3F6F" w:rsidRPr="00295AB0" w:rsidRDefault="00AF3F6F" w:rsidP="00AF3F6F">
      <w:pPr>
        <w:pStyle w:val="isselectedend"/>
        <w:numPr>
          <w:ilvl w:val="0"/>
          <w:numId w:val="2"/>
        </w:numPr>
        <w:rPr>
          <w:b/>
          <w:u w:val="single"/>
        </w:rPr>
      </w:pPr>
      <w:r w:rsidRPr="00295AB0">
        <w:rPr>
          <w:b/>
          <w:u w:val="single"/>
        </w:rPr>
        <w:t>Delayed Payment Surcharge and Discriminatory Interest Structure</w:t>
      </w:r>
    </w:p>
    <w:p w:rsidR="00AF3F6F" w:rsidRPr="00295AB0" w:rsidRDefault="00AF3F6F" w:rsidP="00295AB0">
      <w:pPr>
        <w:pStyle w:val="isselectedend"/>
        <w:jc w:val="both"/>
      </w:pPr>
      <w:r w:rsidRPr="00295AB0">
        <w:t xml:space="preserve">(a) BEST Undertaking levies a Delayed Payment Surcharge on unpaid electricity bills at the rate of approximately </w:t>
      </w:r>
      <w:r w:rsidRPr="00295AB0">
        <w:rPr>
          <w:rStyle w:val="Strong"/>
        </w:rPr>
        <w:t>15% per annum (about 1.25% per month)</w:t>
      </w:r>
      <w:r w:rsidRPr="00295AB0">
        <w:t xml:space="preserve"> in case of delay in payment by consumers.</w:t>
      </w:r>
    </w:p>
    <w:p w:rsidR="00AF3F6F" w:rsidRPr="00295AB0" w:rsidRDefault="00AF3F6F" w:rsidP="00295AB0">
      <w:pPr>
        <w:pStyle w:val="isselectedend"/>
        <w:jc w:val="both"/>
      </w:pPr>
      <w:r w:rsidRPr="00295AB0">
        <w:lastRenderedPageBreak/>
        <w:t xml:space="preserve">(b) This results in a situation where the distribution licensee pays approximately </w:t>
      </w:r>
      <w:r w:rsidRPr="00295AB0">
        <w:rPr>
          <w:rStyle w:val="Strong"/>
        </w:rPr>
        <w:t>4% interest to consumers on their compulsory security deposits</w:t>
      </w:r>
      <w:r w:rsidRPr="00295AB0">
        <w:t xml:space="preserve">, while charging approximately </w:t>
      </w:r>
      <w:r w:rsidRPr="00295AB0">
        <w:rPr>
          <w:rStyle w:val="Strong"/>
        </w:rPr>
        <w:t>15% interest from consumers in the form of delayed payment surcharge</w:t>
      </w:r>
      <w:r w:rsidRPr="00295AB0">
        <w:t>.</w:t>
      </w:r>
    </w:p>
    <w:p w:rsidR="00AF3F6F" w:rsidRPr="00295AB0" w:rsidRDefault="00AF3F6F" w:rsidP="00295AB0">
      <w:pPr>
        <w:pStyle w:val="isselectedend"/>
        <w:jc w:val="both"/>
      </w:pPr>
      <w:r w:rsidRPr="00295AB0">
        <w:t>(c) The differential between the two rates is substantial and raises serious concerns regarding fairness and parity in financial treatment.</w:t>
      </w:r>
    </w:p>
    <w:p w:rsidR="00AF3F6F" w:rsidRPr="00295AB0" w:rsidRDefault="00AF3F6F" w:rsidP="00295AB0">
      <w:pPr>
        <w:pStyle w:val="isselectedend"/>
        <w:jc w:val="both"/>
      </w:pPr>
      <w:r w:rsidRPr="00295AB0">
        <w:t>(d) In effect, the distribution licensee is able to retain consumer funds at a low interest rate while simultaneously imposing a much higher penal rate on consumers.</w:t>
      </w:r>
    </w:p>
    <w:p w:rsidR="00AF3F6F" w:rsidRPr="00295AB0" w:rsidRDefault="00AF3F6F" w:rsidP="00295AB0">
      <w:pPr>
        <w:pStyle w:val="isselectedend"/>
        <w:jc w:val="both"/>
      </w:pPr>
      <w:r w:rsidRPr="00295AB0">
        <w:t xml:space="preserve">(e) In this context, clarification is respectfully sought as to </w:t>
      </w:r>
      <w:r w:rsidRPr="00295AB0">
        <w:rPr>
          <w:rStyle w:val="Strong"/>
        </w:rPr>
        <w:t>under which provision of law, tariff order, or regulatory principle the Commission permits such disparity between the interest paid on consumer security deposits and the delayed payment surcharge levied on consumers</w:t>
      </w:r>
      <w:r w:rsidRPr="00295AB0">
        <w:t>.</w:t>
      </w:r>
    </w:p>
    <w:p w:rsidR="00AF3F6F" w:rsidRDefault="00AF3F6F" w:rsidP="00295AB0">
      <w:pPr>
        <w:pStyle w:val="isselectedend"/>
        <w:jc w:val="both"/>
      </w:pPr>
      <w:r w:rsidRPr="00295AB0">
        <w:t xml:space="preserve">(f) It is further requested that the Commission clarify whether such a structure is consistent with </w:t>
      </w:r>
      <w:r w:rsidRPr="00295AB0">
        <w:rPr>
          <w:rStyle w:val="Strong"/>
        </w:rPr>
        <w:t>Section 61(d) of the Electricity Act, 2003</w:t>
      </w:r>
      <w:r w:rsidRPr="00295AB0">
        <w:t>, which requires tariff policies to safeguard the interests of consumers.</w:t>
      </w:r>
    </w:p>
    <w:p w:rsidR="00DD4B62" w:rsidRDefault="0094120B" w:rsidP="00295AB0">
      <w:pPr>
        <w:pStyle w:val="isselectedend"/>
        <w:jc w:val="both"/>
      </w:pPr>
      <w:r>
        <w:t>(g) any order or administrative decision shall be passed by considering the binding precedent as well as Article 141 and 144 of the Constitution with reasoning and justifying the equality and justness to larger public interest. any orders passed in Violation to Article 14, 21 141, 144 of the Constitution shall prove malice and there is no need to further prove malice.</w:t>
      </w:r>
    </w:p>
    <w:tbl>
      <w:tblPr>
        <w:tblStyle w:val="TableGrid"/>
        <w:tblW w:w="0" w:type="auto"/>
        <w:tblInd w:w="607" w:type="dxa"/>
        <w:tblLook w:val="04A0" w:firstRow="1" w:lastRow="0" w:firstColumn="1" w:lastColumn="0" w:noHBand="0" w:noVBand="1"/>
      </w:tblPr>
      <w:tblGrid>
        <w:gridCol w:w="918"/>
        <w:gridCol w:w="6192"/>
        <w:gridCol w:w="900"/>
      </w:tblGrid>
      <w:tr w:rsidR="00DD4B62" w:rsidRPr="007C5E60" w:rsidTr="009507AD">
        <w:tc>
          <w:tcPr>
            <w:tcW w:w="918" w:type="dxa"/>
          </w:tcPr>
          <w:p w:rsidR="00DD4B62" w:rsidRPr="00224101" w:rsidRDefault="00DD4B62" w:rsidP="006B2BB2">
            <w:pPr>
              <w:pStyle w:val="ListParagraph"/>
              <w:spacing w:line="360" w:lineRule="auto"/>
              <w:rPr>
                <w:rFonts w:ascii="Times New Roman" w:eastAsia="Times New Roman" w:hAnsi="Times New Roman" w:cs="Times New Roman"/>
                <w:b/>
                <w:bCs/>
                <w:sz w:val="24"/>
                <w:szCs w:val="24"/>
              </w:rPr>
            </w:pPr>
          </w:p>
        </w:tc>
        <w:tc>
          <w:tcPr>
            <w:tcW w:w="6192" w:type="dxa"/>
          </w:tcPr>
          <w:p w:rsidR="00DD4B62" w:rsidRDefault="00DD4B62" w:rsidP="009507AD">
            <w:pPr>
              <w:spacing w:after="200" w:line="360" w:lineRule="auto"/>
              <w:jc w:val="both"/>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 xml:space="preserve">Bombay HC </w:t>
            </w:r>
          </w:p>
          <w:p w:rsidR="00DD4B62" w:rsidRDefault="00DD4B62" w:rsidP="009507AD">
            <w:pPr>
              <w:spacing w:after="200" w:line="360" w:lineRule="auto"/>
              <w:jc w:val="both"/>
              <w:rPr>
                <w:rFonts w:ascii="Times New Roman" w:eastAsia="Calibri" w:hAnsi="Times New Roman" w:cs="Times New Roman"/>
                <w:b/>
                <w:sz w:val="24"/>
                <w:szCs w:val="24"/>
                <w:u w:val="single"/>
              </w:rPr>
            </w:pPr>
            <w:r w:rsidRPr="001F5714">
              <w:rPr>
                <w:rFonts w:ascii="Times New Roman" w:eastAsia="Calibri" w:hAnsi="Times New Roman" w:cs="Times New Roman"/>
                <w:b/>
                <w:sz w:val="24"/>
                <w:szCs w:val="24"/>
                <w:u w:val="single"/>
              </w:rPr>
              <w:t xml:space="preserve">Harish Arora V Registrar of societies, 2025 SCC online </w:t>
            </w:r>
            <w:proofErr w:type="spellStart"/>
            <w:r w:rsidRPr="001F5714">
              <w:rPr>
                <w:rFonts w:ascii="Times New Roman" w:eastAsia="Calibri" w:hAnsi="Times New Roman" w:cs="Times New Roman"/>
                <w:b/>
                <w:sz w:val="24"/>
                <w:szCs w:val="24"/>
                <w:u w:val="single"/>
              </w:rPr>
              <w:t>Bom</w:t>
            </w:r>
            <w:proofErr w:type="spellEnd"/>
            <w:r w:rsidRPr="001F5714">
              <w:rPr>
                <w:rFonts w:ascii="Times New Roman" w:eastAsia="Calibri" w:hAnsi="Times New Roman" w:cs="Times New Roman"/>
                <w:b/>
                <w:sz w:val="24"/>
                <w:szCs w:val="24"/>
                <w:u w:val="single"/>
              </w:rPr>
              <w:t xml:space="preserve"> 2833.        Justice Amit </w:t>
            </w:r>
            <w:proofErr w:type="spellStart"/>
            <w:r w:rsidRPr="001F5714">
              <w:rPr>
                <w:rFonts w:ascii="Times New Roman" w:eastAsia="Calibri" w:hAnsi="Times New Roman" w:cs="Times New Roman"/>
                <w:b/>
                <w:sz w:val="24"/>
                <w:szCs w:val="24"/>
                <w:u w:val="single"/>
              </w:rPr>
              <w:t>Borkar</w:t>
            </w:r>
            <w:proofErr w:type="spellEnd"/>
            <w:r w:rsidRPr="001F5714">
              <w:rPr>
                <w:rFonts w:ascii="Times New Roman" w:eastAsia="Calibri" w:hAnsi="Times New Roman" w:cs="Times New Roman"/>
                <w:b/>
                <w:sz w:val="24"/>
                <w:szCs w:val="24"/>
                <w:u w:val="single"/>
              </w:rPr>
              <w:t xml:space="preserve"> </w:t>
            </w:r>
          </w:p>
          <w:p w:rsidR="00DD4B62" w:rsidRDefault="00DD4B62" w:rsidP="009507AD">
            <w:pPr>
              <w:spacing w:after="200" w:line="360" w:lineRule="auto"/>
              <w:jc w:val="both"/>
              <w:rPr>
                <w:rFonts w:ascii="Times New Roman" w:eastAsia="Calibri" w:hAnsi="Times New Roman" w:cs="Times New Roman"/>
                <w:b/>
                <w:sz w:val="24"/>
                <w:szCs w:val="24"/>
                <w:u w:val="single"/>
              </w:rPr>
            </w:pPr>
          </w:p>
          <w:p w:rsidR="00DD4B62" w:rsidRDefault="00DD4B62" w:rsidP="009507AD">
            <w:pPr>
              <w:spacing w:after="200" w:line="360" w:lineRule="auto"/>
              <w:jc w:val="both"/>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 xml:space="preserve">Para 76: allegation against bias and use of Repealed provisions: </w:t>
            </w:r>
          </w:p>
          <w:p w:rsidR="00DD4B62" w:rsidRDefault="00DD4B62" w:rsidP="009507AD">
            <w:pPr>
              <w:spacing w:after="20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In para 28 principle laid by SC in K.K. </w:t>
            </w:r>
            <w:proofErr w:type="spellStart"/>
            <w:r>
              <w:rPr>
                <w:rFonts w:ascii="Times New Roman" w:eastAsia="Calibri" w:hAnsi="Times New Roman" w:cs="Times New Roman"/>
                <w:sz w:val="24"/>
                <w:szCs w:val="24"/>
              </w:rPr>
              <w:t>Dhavan</w:t>
            </w:r>
            <w:proofErr w:type="spellEnd"/>
            <w:r>
              <w:rPr>
                <w:rFonts w:ascii="Times New Roman" w:eastAsia="Calibri" w:hAnsi="Times New Roman" w:cs="Times New Roman"/>
                <w:sz w:val="24"/>
                <w:szCs w:val="24"/>
              </w:rPr>
              <w:t xml:space="preserve"> </w:t>
            </w:r>
            <w:proofErr w:type="gramStart"/>
            <w:r>
              <w:rPr>
                <w:rFonts w:ascii="Times New Roman" w:eastAsia="Calibri" w:hAnsi="Times New Roman" w:cs="Times New Roman"/>
                <w:sz w:val="24"/>
                <w:szCs w:val="24"/>
              </w:rPr>
              <w:t>( supra</w:t>
            </w:r>
            <w:proofErr w:type="gramEnd"/>
            <w:r>
              <w:rPr>
                <w:rFonts w:ascii="Times New Roman" w:eastAsia="Calibri" w:hAnsi="Times New Roman" w:cs="Times New Roman"/>
                <w:sz w:val="24"/>
                <w:szCs w:val="24"/>
              </w:rPr>
              <w:t xml:space="preserve">)  SC held that disciplinary action may be taken against officer exercising quasi-judicial functions, if he has acted in breach of legal duties, negligently or with a view to confer undue benefit on another. Particularly relevant to this case </w:t>
            </w:r>
          </w:p>
          <w:p w:rsidR="00DD4B62" w:rsidRPr="00BA57CD" w:rsidRDefault="00DD4B62" w:rsidP="009507AD">
            <w:pPr>
              <w:spacing w:after="200" w:line="360" w:lineRule="auto"/>
              <w:jc w:val="both"/>
              <w:rPr>
                <w:rFonts w:ascii="Times New Roman" w:eastAsia="Calibri" w:hAnsi="Times New Roman" w:cs="Times New Roman"/>
                <w:b/>
                <w:color w:val="FF0000"/>
                <w:sz w:val="24"/>
                <w:szCs w:val="24"/>
              </w:rPr>
            </w:pPr>
            <w:r w:rsidRPr="00BA57CD">
              <w:rPr>
                <w:rFonts w:ascii="Times New Roman" w:eastAsia="Calibri" w:hAnsi="Times New Roman" w:cs="Times New Roman"/>
                <w:b/>
                <w:color w:val="FF0000"/>
                <w:sz w:val="24"/>
                <w:szCs w:val="24"/>
              </w:rPr>
              <w:lastRenderedPageBreak/>
              <w:t>Iv. If he had acted negligently or that he omitted, the prescribed conditions which are essential for exercise of Statutory Powers.</w:t>
            </w:r>
          </w:p>
          <w:p w:rsidR="00DD4B62" w:rsidRPr="00BA57CD" w:rsidRDefault="00DD4B62" w:rsidP="009507AD">
            <w:pPr>
              <w:spacing w:after="200" w:line="360" w:lineRule="auto"/>
              <w:jc w:val="both"/>
              <w:rPr>
                <w:rFonts w:ascii="Times New Roman" w:eastAsia="Calibri" w:hAnsi="Times New Roman" w:cs="Times New Roman"/>
                <w:b/>
                <w:color w:val="FF0000"/>
                <w:sz w:val="24"/>
                <w:szCs w:val="24"/>
              </w:rPr>
            </w:pPr>
            <w:r w:rsidRPr="00BA57CD">
              <w:rPr>
                <w:rFonts w:ascii="Times New Roman" w:eastAsia="Calibri" w:hAnsi="Times New Roman" w:cs="Times New Roman"/>
                <w:b/>
                <w:color w:val="FF0000"/>
                <w:sz w:val="24"/>
                <w:szCs w:val="24"/>
              </w:rPr>
              <w:t xml:space="preserve">v. if he has acted in order to unduly favor a party. </w:t>
            </w:r>
          </w:p>
          <w:p w:rsidR="00DD4B62" w:rsidRPr="00E0156E" w:rsidRDefault="00DD4B62" w:rsidP="009507AD">
            <w:pPr>
              <w:spacing w:after="200" w:line="360" w:lineRule="auto"/>
              <w:jc w:val="both"/>
              <w:rPr>
                <w:rFonts w:ascii="Times New Roman" w:eastAsia="Calibri" w:hAnsi="Times New Roman" w:cs="Times New Roman"/>
                <w:b/>
                <w:color w:val="FF0000"/>
                <w:sz w:val="24"/>
                <w:szCs w:val="24"/>
              </w:rPr>
            </w:pPr>
            <w:r w:rsidRPr="00E0156E">
              <w:rPr>
                <w:rFonts w:ascii="Times New Roman" w:eastAsia="Calibri" w:hAnsi="Times New Roman" w:cs="Times New Roman"/>
                <w:b/>
                <w:color w:val="FF0000"/>
                <w:sz w:val="24"/>
                <w:szCs w:val="24"/>
                <w:u w:val="single"/>
              </w:rPr>
              <w:t>Para 77</w:t>
            </w:r>
            <w:r w:rsidRPr="00E0156E">
              <w:rPr>
                <w:rFonts w:ascii="Times New Roman" w:eastAsia="Calibri" w:hAnsi="Times New Roman" w:cs="Times New Roman"/>
                <w:b/>
                <w:color w:val="FF0000"/>
                <w:sz w:val="24"/>
                <w:szCs w:val="24"/>
              </w:rPr>
              <w:t xml:space="preserve">: the focus of enquiry is not the correctness of the decision per se, but the manner in which the officer discharged his duty, whether in compliance with law or in breach of it. </w:t>
            </w:r>
          </w:p>
          <w:p w:rsidR="00DD4B62" w:rsidRPr="00E0156E" w:rsidRDefault="00DD4B62" w:rsidP="009507AD">
            <w:pPr>
              <w:spacing w:after="200" w:line="360" w:lineRule="auto"/>
              <w:jc w:val="both"/>
              <w:rPr>
                <w:rFonts w:ascii="Times New Roman" w:eastAsia="Calibri" w:hAnsi="Times New Roman" w:cs="Times New Roman"/>
                <w:b/>
                <w:color w:val="FF0000"/>
                <w:sz w:val="24"/>
                <w:szCs w:val="24"/>
              </w:rPr>
            </w:pPr>
            <w:r w:rsidRPr="00E0156E">
              <w:rPr>
                <w:rFonts w:ascii="Times New Roman" w:eastAsia="Calibri" w:hAnsi="Times New Roman" w:cs="Times New Roman"/>
                <w:b/>
                <w:color w:val="FF0000"/>
                <w:sz w:val="24"/>
                <w:szCs w:val="24"/>
              </w:rPr>
              <w:t xml:space="preserve">The Court clarified that the government officers are not immune from accountability merely because their action is cloaked with the guard of official authority or Quasi-Judicial discretion </w:t>
            </w:r>
          </w:p>
          <w:p w:rsidR="00DD4B62" w:rsidRPr="00890D48" w:rsidRDefault="00DD4B62" w:rsidP="009507AD">
            <w:pPr>
              <w:spacing w:after="200" w:line="360" w:lineRule="auto"/>
              <w:jc w:val="both"/>
              <w:rPr>
                <w:rFonts w:ascii="Times New Roman" w:eastAsia="Calibri" w:hAnsi="Times New Roman" w:cs="Times New Roman"/>
                <w:b/>
                <w:color w:val="FF0000"/>
                <w:sz w:val="24"/>
                <w:szCs w:val="24"/>
              </w:rPr>
            </w:pPr>
            <w:r>
              <w:rPr>
                <w:rFonts w:ascii="Times New Roman" w:eastAsia="Calibri" w:hAnsi="Times New Roman" w:cs="Times New Roman"/>
                <w:b/>
                <w:sz w:val="24"/>
                <w:szCs w:val="24"/>
                <w:u w:val="single"/>
              </w:rPr>
              <w:t xml:space="preserve">Para 81: </w:t>
            </w:r>
            <w:r w:rsidRPr="00890D48">
              <w:rPr>
                <w:rFonts w:ascii="Times New Roman" w:eastAsia="Calibri" w:hAnsi="Times New Roman" w:cs="Times New Roman"/>
                <w:b/>
                <w:color w:val="FF0000"/>
                <w:sz w:val="24"/>
                <w:szCs w:val="24"/>
              </w:rPr>
              <w:t xml:space="preserve">however, the reasoning given in general and does not explain how such finding was arrived at, nor does it show what materials was relied upon in arriving at that conclusion. </w:t>
            </w:r>
          </w:p>
          <w:p w:rsidR="00DD4B62" w:rsidRDefault="00DD4B62" w:rsidP="009507AD">
            <w:pPr>
              <w:spacing w:after="200" w:line="36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u w:val="single"/>
              </w:rPr>
              <w:t xml:space="preserve">Para 84: ignoring binding precedent – omission of duty and legal </w:t>
            </w:r>
            <w:proofErr w:type="spellStart"/>
            <w:r>
              <w:rPr>
                <w:rFonts w:ascii="Times New Roman" w:eastAsia="Calibri" w:hAnsi="Times New Roman" w:cs="Times New Roman"/>
                <w:b/>
                <w:sz w:val="24"/>
                <w:szCs w:val="24"/>
                <w:u w:val="single"/>
              </w:rPr>
              <w:t>malafides</w:t>
            </w:r>
            <w:proofErr w:type="spellEnd"/>
            <w:r>
              <w:rPr>
                <w:rFonts w:ascii="Times New Roman" w:eastAsia="Calibri" w:hAnsi="Times New Roman" w:cs="Times New Roman"/>
                <w:b/>
                <w:sz w:val="24"/>
                <w:szCs w:val="24"/>
                <w:u w:val="single"/>
              </w:rPr>
              <w:t xml:space="preserve"> </w:t>
            </w:r>
          </w:p>
          <w:p w:rsidR="00DD4B62" w:rsidRPr="00B35EF8" w:rsidRDefault="00DD4B62" w:rsidP="009507AD">
            <w:pPr>
              <w:spacing w:after="200" w:line="360" w:lineRule="auto"/>
              <w:jc w:val="both"/>
              <w:rPr>
                <w:rFonts w:ascii="Times New Roman" w:eastAsia="Calibri" w:hAnsi="Times New Roman" w:cs="Times New Roman"/>
                <w:b/>
                <w:sz w:val="24"/>
                <w:szCs w:val="24"/>
              </w:rPr>
            </w:pPr>
            <w:r w:rsidRPr="00B35EF8">
              <w:rPr>
                <w:rFonts w:ascii="Times New Roman" w:eastAsia="Calibri" w:hAnsi="Times New Roman" w:cs="Times New Roman"/>
                <w:b/>
                <w:sz w:val="24"/>
                <w:szCs w:val="24"/>
              </w:rPr>
              <w:t xml:space="preserve">Respondent no.1 order is also vitiated by his failure to follow binding precedent. </w:t>
            </w:r>
          </w:p>
          <w:p w:rsidR="00DD4B62" w:rsidRDefault="00DD4B62" w:rsidP="009507AD">
            <w:pPr>
              <w:spacing w:after="200" w:line="360" w:lineRule="auto"/>
              <w:jc w:val="both"/>
              <w:rPr>
                <w:rFonts w:ascii="Times New Roman" w:eastAsia="Calibri" w:hAnsi="Times New Roman" w:cs="Times New Roman"/>
                <w:sz w:val="24"/>
                <w:szCs w:val="24"/>
              </w:rPr>
            </w:pPr>
            <w:r w:rsidRPr="00B35EF8">
              <w:rPr>
                <w:rFonts w:ascii="Times New Roman" w:eastAsia="Calibri" w:hAnsi="Times New Roman" w:cs="Times New Roman"/>
                <w:sz w:val="24"/>
                <w:szCs w:val="24"/>
              </w:rPr>
              <w:t xml:space="preserve">This omission to consider the prevailing law, is </w:t>
            </w:r>
            <w:r w:rsidRPr="00B35EF8">
              <w:rPr>
                <w:rFonts w:ascii="Times New Roman" w:eastAsia="Calibri" w:hAnsi="Times New Roman" w:cs="Times New Roman"/>
                <w:b/>
                <w:sz w:val="24"/>
                <w:szCs w:val="24"/>
                <w:u w:val="single"/>
              </w:rPr>
              <w:t>another facet of negligence, dereliction of duty</w:t>
            </w:r>
            <w:r w:rsidRPr="00B35EF8">
              <w:rPr>
                <w:rFonts w:ascii="Times New Roman" w:eastAsia="Calibri" w:hAnsi="Times New Roman" w:cs="Times New Roman"/>
                <w:sz w:val="24"/>
                <w:szCs w:val="24"/>
              </w:rPr>
              <w:t xml:space="preserve"> encompassed by </w:t>
            </w:r>
            <w:proofErr w:type="spellStart"/>
            <w:r w:rsidRPr="00B35EF8">
              <w:rPr>
                <w:rFonts w:ascii="Times New Roman" w:eastAsia="Calibri" w:hAnsi="Times New Roman" w:cs="Times New Roman"/>
                <w:sz w:val="24"/>
                <w:szCs w:val="24"/>
              </w:rPr>
              <w:t>Dhavan</w:t>
            </w:r>
            <w:proofErr w:type="spellEnd"/>
            <w:r w:rsidRPr="00B35EF8">
              <w:rPr>
                <w:rFonts w:ascii="Times New Roman" w:eastAsia="Calibri" w:hAnsi="Times New Roman" w:cs="Times New Roman"/>
                <w:sz w:val="24"/>
                <w:szCs w:val="24"/>
              </w:rPr>
              <w:t xml:space="preserve"> (iv). </w:t>
            </w:r>
          </w:p>
          <w:p w:rsidR="00DD4B62" w:rsidRDefault="00DD4B62" w:rsidP="009507AD">
            <w:pPr>
              <w:spacing w:after="200" w:line="360" w:lineRule="auto"/>
              <w:jc w:val="both"/>
              <w:rPr>
                <w:rFonts w:ascii="Times New Roman" w:eastAsia="Calibri" w:hAnsi="Times New Roman" w:cs="Times New Roman"/>
                <w:b/>
                <w:color w:val="FF0000"/>
                <w:sz w:val="24"/>
                <w:szCs w:val="24"/>
              </w:rPr>
            </w:pPr>
            <w:r w:rsidRPr="00B35EF8">
              <w:rPr>
                <w:rFonts w:ascii="Times New Roman" w:eastAsia="Calibri" w:hAnsi="Times New Roman" w:cs="Times New Roman"/>
                <w:b/>
                <w:color w:val="FF0000"/>
                <w:sz w:val="24"/>
                <w:szCs w:val="24"/>
              </w:rPr>
              <w:t xml:space="preserve">In effect the Respondent no. 1, omitted a prescribed condition essential for fair exercising of power, that his </w:t>
            </w:r>
            <w:r w:rsidRPr="00B35EF8">
              <w:rPr>
                <w:rFonts w:ascii="Times New Roman" w:eastAsia="Calibri" w:hAnsi="Times New Roman" w:cs="Times New Roman"/>
                <w:b/>
                <w:color w:val="FF0000"/>
                <w:sz w:val="24"/>
                <w:szCs w:val="24"/>
              </w:rPr>
              <w:lastRenderedPageBreak/>
              <w:t xml:space="preserve">decision must align with the law as interpreted by High Court. </w:t>
            </w:r>
          </w:p>
          <w:p w:rsidR="00DD4B62" w:rsidRPr="00B35EF8" w:rsidRDefault="00DD4B62" w:rsidP="009507AD">
            <w:pPr>
              <w:spacing w:after="200" w:line="360" w:lineRule="auto"/>
              <w:jc w:val="both"/>
              <w:rPr>
                <w:rFonts w:ascii="Times New Roman" w:eastAsia="Calibri" w:hAnsi="Times New Roman" w:cs="Times New Roman"/>
                <w:b/>
                <w:color w:val="FF0000"/>
                <w:sz w:val="24"/>
                <w:szCs w:val="24"/>
                <w:u w:val="single"/>
              </w:rPr>
            </w:pPr>
            <w:r>
              <w:rPr>
                <w:rFonts w:ascii="Times New Roman" w:eastAsia="Calibri" w:hAnsi="Times New Roman" w:cs="Times New Roman"/>
                <w:b/>
                <w:color w:val="FF0000"/>
                <w:sz w:val="24"/>
                <w:szCs w:val="24"/>
              </w:rPr>
              <w:t xml:space="preserve">If the omission was willful it is even more egregious, suggesting </w:t>
            </w:r>
            <w:proofErr w:type="gramStart"/>
            <w:r w:rsidRPr="00B35EF8">
              <w:rPr>
                <w:rFonts w:ascii="Times New Roman" w:eastAsia="Calibri" w:hAnsi="Times New Roman" w:cs="Times New Roman"/>
                <w:b/>
                <w:color w:val="FF0000"/>
                <w:sz w:val="24"/>
                <w:szCs w:val="24"/>
                <w:u w:val="single"/>
              </w:rPr>
              <w:t>“ a</w:t>
            </w:r>
            <w:proofErr w:type="gramEnd"/>
            <w:r w:rsidRPr="00B35EF8">
              <w:rPr>
                <w:rFonts w:ascii="Times New Roman" w:eastAsia="Calibri" w:hAnsi="Times New Roman" w:cs="Times New Roman"/>
                <w:b/>
                <w:color w:val="FF0000"/>
                <w:sz w:val="24"/>
                <w:szCs w:val="24"/>
                <w:u w:val="single"/>
              </w:rPr>
              <w:t xml:space="preserve"> conscious violation of law to the prejudice of another”  </w:t>
            </w:r>
            <w:r>
              <w:rPr>
                <w:rFonts w:ascii="Times New Roman" w:eastAsia="Calibri" w:hAnsi="Times New Roman" w:cs="Times New Roman"/>
                <w:b/>
                <w:color w:val="FF0000"/>
                <w:sz w:val="24"/>
                <w:szCs w:val="24"/>
                <w:u w:val="single"/>
              </w:rPr>
              <w:t xml:space="preserve">which the Supreme Court has identifies s hallmark of malice in law. </w:t>
            </w:r>
          </w:p>
          <w:p w:rsidR="00DD4B62" w:rsidRDefault="00DD4B62" w:rsidP="009507AD">
            <w:pPr>
              <w:spacing w:after="200" w:line="360" w:lineRule="auto"/>
              <w:jc w:val="both"/>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Para 85: Violation of Principles of Natural justice and fair play</w:t>
            </w:r>
          </w:p>
          <w:p w:rsidR="00DD4B62" w:rsidRDefault="00DD4B62" w:rsidP="009507AD">
            <w:pPr>
              <w:spacing w:after="200" w:line="360" w:lineRule="auto"/>
              <w:jc w:val="both"/>
              <w:rPr>
                <w:rFonts w:ascii="Times New Roman" w:eastAsia="Calibri" w:hAnsi="Times New Roman" w:cs="Times New Roman"/>
                <w:b/>
                <w:sz w:val="24"/>
                <w:szCs w:val="24"/>
                <w:u w:val="single"/>
              </w:rPr>
            </w:pPr>
            <w:r>
              <w:rPr>
                <w:rFonts w:ascii="Times New Roman" w:eastAsia="Calibri" w:hAnsi="Times New Roman" w:cs="Times New Roman"/>
                <w:sz w:val="24"/>
                <w:szCs w:val="24"/>
              </w:rPr>
              <w:t xml:space="preserve">The Record lends credence to the Petitioners complaint that Respondent no.1, considered materials that were not a part of office record of inquiry. If that is so, the decision was based on “Extraneous” information, which appears not to be part of record of Respondent no.1, this offends the basic principle of natural justice and reinforces impression that </w:t>
            </w:r>
            <w:r w:rsidRPr="007B4E99">
              <w:rPr>
                <w:rFonts w:ascii="Times New Roman" w:eastAsia="Calibri" w:hAnsi="Times New Roman" w:cs="Times New Roman"/>
                <w:b/>
                <w:sz w:val="24"/>
                <w:szCs w:val="24"/>
                <w:u w:val="single"/>
              </w:rPr>
              <w:t>Respondent no.1, was influenced by factors outside the legitimate scope of inquiry</w:t>
            </w:r>
            <w:r>
              <w:rPr>
                <w:rFonts w:ascii="Times New Roman" w:eastAsia="Calibri" w:hAnsi="Times New Roman" w:cs="Times New Roman"/>
                <w:b/>
                <w:sz w:val="24"/>
                <w:szCs w:val="24"/>
                <w:u w:val="single"/>
              </w:rPr>
              <w:t>.</w:t>
            </w:r>
            <w:r w:rsidRPr="007B4E99">
              <w:rPr>
                <w:rFonts w:ascii="Times New Roman" w:eastAsia="Calibri" w:hAnsi="Times New Roman" w:cs="Times New Roman"/>
                <w:b/>
                <w:sz w:val="24"/>
                <w:szCs w:val="24"/>
                <w:u w:val="single"/>
              </w:rPr>
              <w:t xml:space="preserve">  </w:t>
            </w:r>
          </w:p>
          <w:p w:rsidR="00DD4B62" w:rsidRPr="00692D0F" w:rsidRDefault="00DD4B62" w:rsidP="009507AD">
            <w:pPr>
              <w:spacing w:after="200" w:line="360" w:lineRule="auto"/>
              <w:jc w:val="both"/>
              <w:rPr>
                <w:rFonts w:ascii="Times New Roman" w:eastAsia="Calibri" w:hAnsi="Times New Roman" w:cs="Times New Roman"/>
                <w:b/>
                <w:color w:val="FF0000"/>
                <w:sz w:val="24"/>
                <w:szCs w:val="24"/>
                <w:u w:val="single"/>
              </w:rPr>
            </w:pPr>
            <w:r w:rsidRPr="00785588">
              <w:rPr>
                <w:rFonts w:ascii="Times New Roman" w:eastAsia="Calibri" w:hAnsi="Times New Roman" w:cs="Times New Roman"/>
                <w:b/>
                <w:sz w:val="24"/>
                <w:szCs w:val="24"/>
              </w:rPr>
              <w:t xml:space="preserve">Such conduct violates the dictum of A.K. </w:t>
            </w:r>
            <w:proofErr w:type="spellStart"/>
            <w:r w:rsidRPr="00785588">
              <w:rPr>
                <w:rFonts w:ascii="Times New Roman" w:eastAsia="Calibri" w:hAnsi="Times New Roman" w:cs="Times New Roman"/>
                <w:b/>
                <w:sz w:val="24"/>
                <w:szCs w:val="24"/>
              </w:rPr>
              <w:t>Kraipak</w:t>
            </w:r>
            <w:proofErr w:type="spellEnd"/>
            <w:r w:rsidRPr="00785588">
              <w:rPr>
                <w:rFonts w:ascii="Times New Roman" w:eastAsia="Calibri" w:hAnsi="Times New Roman" w:cs="Times New Roman"/>
                <w:b/>
                <w:sz w:val="24"/>
                <w:szCs w:val="24"/>
              </w:rPr>
              <w:t xml:space="preserve"> v/s Union of India </w:t>
            </w:r>
            <w:proofErr w:type="gramStart"/>
            <w:r w:rsidRPr="00785588">
              <w:rPr>
                <w:rFonts w:ascii="Times New Roman" w:eastAsia="Calibri" w:hAnsi="Times New Roman" w:cs="Times New Roman"/>
                <w:b/>
                <w:sz w:val="24"/>
                <w:szCs w:val="24"/>
              </w:rPr>
              <w:t>( 1969</w:t>
            </w:r>
            <w:proofErr w:type="gramEnd"/>
            <w:r w:rsidRPr="00785588">
              <w:rPr>
                <w:rFonts w:ascii="Times New Roman" w:eastAsia="Calibri" w:hAnsi="Times New Roman" w:cs="Times New Roman"/>
                <w:b/>
                <w:sz w:val="24"/>
                <w:szCs w:val="24"/>
              </w:rPr>
              <w:t>) 2SCC 262</w:t>
            </w:r>
            <w:r>
              <w:rPr>
                <w:rFonts w:ascii="Times New Roman" w:eastAsia="Calibri" w:hAnsi="Times New Roman" w:cs="Times New Roman"/>
                <w:b/>
                <w:sz w:val="24"/>
                <w:szCs w:val="24"/>
                <w:u w:val="single"/>
              </w:rPr>
              <w:t xml:space="preserve"> </w:t>
            </w:r>
            <w:r w:rsidRPr="00692D0F">
              <w:rPr>
                <w:rFonts w:ascii="Times New Roman" w:eastAsia="Calibri" w:hAnsi="Times New Roman" w:cs="Times New Roman"/>
                <w:b/>
                <w:color w:val="FF0000"/>
                <w:sz w:val="24"/>
                <w:szCs w:val="24"/>
                <w:u w:val="single"/>
              </w:rPr>
              <w:t xml:space="preserve">that even administrative decision must be made fairly and impartially and on relevant evidence. </w:t>
            </w:r>
          </w:p>
          <w:p w:rsidR="00DD4B62" w:rsidRDefault="00DD4B62" w:rsidP="009507AD">
            <w:pPr>
              <w:spacing w:after="20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The Supreme Court warning that </w:t>
            </w:r>
            <w:r w:rsidRPr="00FE11E1">
              <w:rPr>
                <w:rFonts w:ascii="Times New Roman" w:eastAsia="Calibri" w:hAnsi="Times New Roman" w:cs="Times New Roman"/>
                <w:b/>
                <w:sz w:val="24"/>
                <w:szCs w:val="24"/>
                <w:u w:val="single"/>
              </w:rPr>
              <w:t>“the instrumentalities of State must discharge their functions in fair and just manner</w:t>
            </w:r>
            <w:r>
              <w:rPr>
                <w:rFonts w:ascii="Times New Roman" w:eastAsia="Calibri" w:hAnsi="Times New Roman" w:cs="Times New Roman"/>
                <w:sz w:val="24"/>
                <w:szCs w:val="24"/>
              </w:rPr>
              <w:t xml:space="preserve">” was not heeded by Respondent no.1.  </w:t>
            </w:r>
          </w:p>
          <w:p w:rsidR="00DD4B62" w:rsidRDefault="00DD4B62" w:rsidP="009507AD">
            <w:pPr>
              <w:spacing w:after="200" w:line="360" w:lineRule="auto"/>
              <w:jc w:val="both"/>
              <w:rPr>
                <w:rFonts w:ascii="Times New Roman" w:eastAsia="Calibri" w:hAnsi="Times New Roman" w:cs="Times New Roman"/>
                <w:b/>
                <w:sz w:val="24"/>
                <w:szCs w:val="24"/>
                <w:u w:val="single"/>
              </w:rPr>
            </w:pPr>
          </w:p>
          <w:p w:rsidR="00DD4B62" w:rsidRPr="00AF3D93" w:rsidRDefault="00DD4B62" w:rsidP="009507AD">
            <w:pPr>
              <w:spacing w:after="200" w:line="360" w:lineRule="auto"/>
              <w:jc w:val="both"/>
              <w:rPr>
                <w:rFonts w:ascii="Times New Roman" w:eastAsia="Calibri" w:hAnsi="Times New Roman" w:cs="Times New Roman"/>
                <w:b/>
                <w:sz w:val="24"/>
                <w:szCs w:val="24"/>
                <w:u w:val="single"/>
              </w:rPr>
            </w:pPr>
            <w:r w:rsidRPr="00AF3D93">
              <w:rPr>
                <w:rFonts w:ascii="Times New Roman" w:eastAsia="Calibri" w:hAnsi="Times New Roman" w:cs="Times New Roman"/>
                <w:b/>
                <w:sz w:val="24"/>
                <w:szCs w:val="24"/>
                <w:u w:val="single"/>
              </w:rPr>
              <w:t>Para 86: undue favoritism- Evidence of bias to favor a party:</w:t>
            </w:r>
          </w:p>
          <w:p w:rsidR="00DD4B62" w:rsidRDefault="00DD4B62" w:rsidP="009507AD">
            <w:pPr>
              <w:spacing w:after="20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even absent of direct evidence of bribery or corruption, </w:t>
            </w:r>
            <w:r w:rsidRPr="00AF3D93">
              <w:rPr>
                <w:rFonts w:ascii="Times New Roman" w:eastAsia="Calibri" w:hAnsi="Times New Roman" w:cs="Times New Roman"/>
                <w:b/>
                <w:sz w:val="24"/>
                <w:szCs w:val="24"/>
                <w:u w:val="single"/>
              </w:rPr>
              <w:t>if the pattern of conduct shows a tilted balance or preferential</w:t>
            </w:r>
            <w:r>
              <w:rPr>
                <w:rFonts w:ascii="Times New Roman" w:eastAsia="Calibri" w:hAnsi="Times New Roman" w:cs="Times New Roman"/>
                <w:sz w:val="24"/>
                <w:szCs w:val="24"/>
              </w:rPr>
              <w:t xml:space="preserve"> </w:t>
            </w:r>
            <w:r w:rsidRPr="00AF3D93">
              <w:rPr>
                <w:rFonts w:ascii="Times New Roman" w:eastAsia="Calibri" w:hAnsi="Times New Roman" w:cs="Times New Roman"/>
                <w:b/>
                <w:sz w:val="24"/>
                <w:szCs w:val="24"/>
                <w:u w:val="single"/>
              </w:rPr>
              <w:t>treatment without justification</w:t>
            </w:r>
            <w:r>
              <w:rPr>
                <w:rFonts w:ascii="Times New Roman" w:eastAsia="Calibri" w:hAnsi="Times New Roman" w:cs="Times New Roman"/>
                <w:sz w:val="24"/>
                <w:szCs w:val="24"/>
              </w:rPr>
              <w:t xml:space="preserve">, the charge of undue favoritism can be made out.  </w:t>
            </w:r>
          </w:p>
          <w:p w:rsidR="00DD4B62" w:rsidRPr="00AF3D93" w:rsidRDefault="00DD4B62" w:rsidP="009507AD">
            <w:pPr>
              <w:spacing w:after="200" w:line="360" w:lineRule="auto"/>
              <w:jc w:val="both"/>
              <w:rPr>
                <w:rFonts w:ascii="Times New Roman" w:eastAsia="Calibri" w:hAnsi="Times New Roman" w:cs="Times New Roman"/>
                <w:b/>
                <w:sz w:val="24"/>
                <w:szCs w:val="24"/>
              </w:rPr>
            </w:pPr>
            <w:r>
              <w:rPr>
                <w:rFonts w:ascii="Times New Roman" w:eastAsia="Calibri" w:hAnsi="Times New Roman" w:cs="Times New Roman"/>
                <w:sz w:val="24"/>
                <w:szCs w:val="24"/>
              </w:rPr>
              <w:t xml:space="preserve">In the present case departing from norm, all operated to the sole advantage of the Complainant faction. This colorable </w:t>
            </w:r>
            <w:r w:rsidRPr="00AF3D93">
              <w:rPr>
                <w:rFonts w:ascii="Times New Roman" w:eastAsia="Calibri" w:hAnsi="Times New Roman" w:cs="Times New Roman"/>
                <w:b/>
                <w:sz w:val="24"/>
                <w:szCs w:val="24"/>
              </w:rPr>
              <w:t>exercise of power using legitimate power for illegitimate purpose is nothing, but undue favoritism</w:t>
            </w:r>
            <w:r>
              <w:rPr>
                <w:rFonts w:ascii="Times New Roman" w:eastAsia="Calibri" w:hAnsi="Times New Roman" w:cs="Times New Roman"/>
                <w:b/>
                <w:sz w:val="24"/>
                <w:szCs w:val="24"/>
              </w:rPr>
              <w:t xml:space="preserve"> in action.</w:t>
            </w:r>
          </w:p>
          <w:p w:rsidR="00DD4B62" w:rsidRDefault="00DD4B62" w:rsidP="009507AD">
            <w:pPr>
              <w:spacing w:after="200" w:line="360" w:lineRule="auto"/>
              <w:jc w:val="both"/>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 xml:space="preserve">Para 87: </w:t>
            </w:r>
            <w:r w:rsidRPr="00E551A8">
              <w:rPr>
                <w:rFonts w:ascii="Times New Roman" w:eastAsia="Calibri" w:hAnsi="Times New Roman" w:cs="Times New Roman"/>
                <w:sz w:val="24"/>
                <w:szCs w:val="24"/>
              </w:rPr>
              <w:t>if a public authority acts with an intention not authorized by law, or consciously disregards legal limits, the element of malice in law is attracted even if there is no overt malice in fact</w:t>
            </w:r>
            <w:r>
              <w:rPr>
                <w:rFonts w:ascii="Times New Roman" w:eastAsia="Calibri" w:hAnsi="Times New Roman" w:cs="Times New Roman"/>
                <w:b/>
                <w:sz w:val="24"/>
                <w:szCs w:val="24"/>
                <w:u w:val="single"/>
              </w:rPr>
              <w:t>.</w:t>
            </w:r>
          </w:p>
          <w:p w:rsidR="00DD4B62" w:rsidRDefault="00DD4B62" w:rsidP="009507AD">
            <w:pPr>
              <w:spacing w:after="200" w:line="360" w:lineRule="auto"/>
              <w:jc w:val="both"/>
              <w:rPr>
                <w:rFonts w:ascii="Times New Roman" w:eastAsia="Calibri" w:hAnsi="Times New Roman" w:cs="Times New Roman"/>
                <w:sz w:val="24"/>
                <w:szCs w:val="24"/>
              </w:rPr>
            </w:pPr>
            <w:r w:rsidRPr="00E551A8">
              <w:rPr>
                <w:rFonts w:ascii="Times New Roman" w:eastAsia="Calibri" w:hAnsi="Times New Roman" w:cs="Times New Roman"/>
                <w:sz w:val="24"/>
                <w:szCs w:val="24"/>
              </w:rPr>
              <w:t xml:space="preserve">The Supreme Court </w:t>
            </w:r>
            <w:r>
              <w:rPr>
                <w:rFonts w:ascii="Times New Roman" w:eastAsia="Calibri" w:hAnsi="Times New Roman" w:cs="Times New Roman"/>
                <w:sz w:val="24"/>
                <w:szCs w:val="24"/>
              </w:rPr>
              <w:t xml:space="preserve">reiterated that the legal malice (malice in law) occurs when the act is done without lawful excuse or for an improper purpose. </w:t>
            </w:r>
          </w:p>
          <w:p w:rsidR="00DD4B62" w:rsidRDefault="00DD4B62" w:rsidP="009507AD">
            <w:pPr>
              <w:spacing w:after="200" w:line="360" w:lineRule="auto"/>
              <w:jc w:val="both"/>
              <w:rPr>
                <w:rFonts w:ascii="Times New Roman" w:eastAsia="Calibri" w:hAnsi="Times New Roman" w:cs="Times New Roman"/>
                <w:sz w:val="24"/>
                <w:szCs w:val="24"/>
              </w:rPr>
            </w:pPr>
            <w:r w:rsidRPr="0047602D">
              <w:rPr>
                <w:rFonts w:ascii="Times New Roman" w:eastAsia="Calibri" w:hAnsi="Times New Roman" w:cs="Times New Roman"/>
                <w:b/>
                <w:sz w:val="24"/>
                <w:szCs w:val="24"/>
              </w:rPr>
              <w:t>Conscious disregard of law fulfills all the essentials of malice in law. It shows a “depraved disregard” for the Petitioner and constraint of law</w:t>
            </w:r>
            <w:r>
              <w:rPr>
                <w:rFonts w:ascii="Times New Roman" w:eastAsia="Calibri" w:hAnsi="Times New Roman" w:cs="Times New Roman"/>
                <w:sz w:val="24"/>
                <w:szCs w:val="24"/>
              </w:rPr>
              <w:t xml:space="preserve">. </w:t>
            </w:r>
          </w:p>
          <w:p w:rsidR="00DD4B62" w:rsidRPr="00E551A8" w:rsidRDefault="00DD4B62" w:rsidP="009507AD">
            <w:pPr>
              <w:spacing w:after="200" w:line="360" w:lineRule="auto"/>
              <w:jc w:val="both"/>
              <w:rPr>
                <w:rFonts w:ascii="Times New Roman" w:eastAsia="Calibri" w:hAnsi="Times New Roman" w:cs="Times New Roman"/>
                <w:sz w:val="24"/>
                <w:szCs w:val="24"/>
              </w:rPr>
            </w:pPr>
            <w:r w:rsidRPr="0047602D">
              <w:rPr>
                <w:rFonts w:ascii="Times New Roman" w:eastAsia="Calibri" w:hAnsi="Times New Roman" w:cs="Times New Roman"/>
                <w:b/>
                <w:sz w:val="24"/>
                <w:szCs w:val="24"/>
                <w:u w:val="single"/>
              </w:rPr>
              <w:t>That any authority would side step a binding precedent cannot be seen as good faith mistake</w:t>
            </w:r>
            <w:r>
              <w:rPr>
                <w:rFonts w:ascii="Times New Roman" w:eastAsia="Calibri" w:hAnsi="Times New Roman" w:cs="Times New Roman"/>
                <w:sz w:val="24"/>
                <w:szCs w:val="24"/>
              </w:rPr>
              <w:t>. It reflects either an unaccepted level of incompetence or a willful abuse of power. Both alternative are equally condemnable.</w:t>
            </w:r>
          </w:p>
          <w:p w:rsidR="00DD4B62" w:rsidRDefault="00DD4B62" w:rsidP="009507AD">
            <w:pPr>
              <w:spacing w:after="200" w:line="360" w:lineRule="auto"/>
              <w:jc w:val="both"/>
              <w:rPr>
                <w:rFonts w:ascii="Times New Roman" w:eastAsia="Calibri" w:hAnsi="Times New Roman" w:cs="Times New Roman"/>
                <w:b/>
                <w:sz w:val="24"/>
                <w:szCs w:val="24"/>
                <w:u w:val="single"/>
              </w:rPr>
            </w:pPr>
          </w:p>
          <w:p w:rsidR="00DD4B62" w:rsidRPr="00894B15" w:rsidRDefault="00DD4B62" w:rsidP="009507AD">
            <w:pPr>
              <w:spacing w:after="200" w:line="360" w:lineRule="auto"/>
              <w:jc w:val="both"/>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 xml:space="preserve">Para 91: </w:t>
            </w:r>
            <w:r w:rsidRPr="007A5BB9">
              <w:rPr>
                <w:rFonts w:ascii="Times New Roman" w:eastAsia="Calibri" w:hAnsi="Times New Roman" w:cs="Times New Roman"/>
                <w:sz w:val="24"/>
                <w:szCs w:val="24"/>
              </w:rPr>
              <w:t>the rule of law mandates that public authorities must act in transparency fairness, and fidelity</w:t>
            </w:r>
            <w:r>
              <w:rPr>
                <w:rFonts w:ascii="Times New Roman" w:eastAsia="Calibri" w:hAnsi="Times New Roman" w:cs="Times New Roman"/>
                <w:sz w:val="24"/>
                <w:szCs w:val="24"/>
              </w:rPr>
              <w:t xml:space="preserve"> </w:t>
            </w:r>
            <w:r w:rsidRPr="007A5BB9">
              <w:rPr>
                <w:rFonts w:ascii="Times New Roman" w:eastAsia="Calibri" w:hAnsi="Times New Roman" w:cs="Times New Roman"/>
                <w:sz w:val="24"/>
                <w:szCs w:val="24"/>
              </w:rPr>
              <w:t xml:space="preserve">to statutory norm. </w:t>
            </w:r>
            <w:r w:rsidRPr="00894B15">
              <w:rPr>
                <w:rFonts w:ascii="Times New Roman" w:eastAsia="Calibri" w:hAnsi="Times New Roman" w:cs="Times New Roman"/>
                <w:b/>
                <w:sz w:val="24"/>
                <w:szCs w:val="24"/>
              </w:rPr>
              <w:t xml:space="preserve">when statutory functionaries deviate from these core </w:t>
            </w:r>
            <w:r w:rsidRPr="00894B15">
              <w:rPr>
                <w:rFonts w:ascii="Times New Roman" w:eastAsia="Calibri" w:hAnsi="Times New Roman" w:cs="Times New Roman"/>
                <w:b/>
                <w:sz w:val="24"/>
                <w:szCs w:val="24"/>
              </w:rPr>
              <w:lastRenderedPageBreak/>
              <w:t>principles and act with haste or bias, it undermines not only the integrity of process but also trust reposed in them.</w:t>
            </w:r>
            <w:r w:rsidRPr="00894B15">
              <w:rPr>
                <w:rFonts w:ascii="Times New Roman" w:eastAsia="Calibri" w:hAnsi="Times New Roman" w:cs="Times New Roman"/>
                <w:b/>
                <w:sz w:val="24"/>
                <w:szCs w:val="24"/>
                <w:u w:val="single"/>
              </w:rPr>
              <w:t xml:space="preserve"> </w:t>
            </w:r>
          </w:p>
          <w:p w:rsidR="00DD4B62" w:rsidRDefault="00DD4B62" w:rsidP="009507AD">
            <w:pPr>
              <w:spacing w:after="200" w:line="360" w:lineRule="auto"/>
              <w:jc w:val="both"/>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 xml:space="preserve">Para 92: </w:t>
            </w:r>
            <w:r w:rsidRPr="00894B15">
              <w:rPr>
                <w:rFonts w:ascii="Times New Roman" w:eastAsia="Calibri" w:hAnsi="Times New Roman" w:cs="Times New Roman"/>
                <w:b/>
                <w:sz w:val="24"/>
                <w:szCs w:val="24"/>
              </w:rPr>
              <w:t xml:space="preserve">complete disregard of procedural safeguard </w:t>
            </w:r>
            <w:r w:rsidRPr="008F74FB">
              <w:rPr>
                <w:rFonts w:ascii="Times New Roman" w:eastAsia="Calibri" w:hAnsi="Times New Roman" w:cs="Times New Roman"/>
                <w:sz w:val="24"/>
                <w:szCs w:val="24"/>
              </w:rPr>
              <w:t xml:space="preserve">reflects undue favor, and colorable exercise of power as warned against in </w:t>
            </w:r>
            <w:proofErr w:type="spellStart"/>
            <w:r w:rsidRPr="008F74FB">
              <w:rPr>
                <w:rFonts w:ascii="Times New Roman" w:eastAsia="Calibri" w:hAnsi="Times New Roman" w:cs="Times New Roman"/>
                <w:sz w:val="24"/>
                <w:szCs w:val="24"/>
              </w:rPr>
              <w:t>Gurudial</w:t>
            </w:r>
            <w:proofErr w:type="spellEnd"/>
            <w:r w:rsidRPr="008F74FB">
              <w:rPr>
                <w:rFonts w:ascii="Times New Roman" w:eastAsia="Calibri" w:hAnsi="Times New Roman" w:cs="Times New Roman"/>
                <w:sz w:val="24"/>
                <w:szCs w:val="24"/>
              </w:rPr>
              <w:t xml:space="preserve"> Singh </w:t>
            </w:r>
            <w:proofErr w:type="gramStart"/>
            <w:r w:rsidRPr="008F74FB">
              <w:rPr>
                <w:rFonts w:ascii="Times New Roman" w:eastAsia="Calibri" w:hAnsi="Times New Roman" w:cs="Times New Roman"/>
                <w:sz w:val="24"/>
                <w:szCs w:val="24"/>
              </w:rPr>
              <w:t>( supra</w:t>
            </w:r>
            <w:proofErr w:type="gramEnd"/>
            <w:r>
              <w:rPr>
                <w:rFonts w:ascii="Times New Roman" w:eastAsia="Calibri" w:hAnsi="Times New Roman" w:cs="Times New Roman"/>
                <w:b/>
                <w:sz w:val="24"/>
                <w:szCs w:val="24"/>
                <w:u w:val="single"/>
              </w:rPr>
              <w:t xml:space="preserve">) </w:t>
            </w:r>
          </w:p>
          <w:p w:rsidR="00DD4B62" w:rsidRDefault="00DD4B62" w:rsidP="009507AD">
            <w:pPr>
              <w:spacing w:after="200" w:line="360" w:lineRule="auto"/>
              <w:jc w:val="both"/>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 xml:space="preserve">Para 93: </w:t>
            </w:r>
            <w:r w:rsidRPr="007363BF">
              <w:rPr>
                <w:rFonts w:ascii="Times New Roman" w:eastAsia="Calibri" w:hAnsi="Times New Roman" w:cs="Times New Roman"/>
                <w:sz w:val="24"/>
                <w:szCs w:val="24"/>
              </w:rPr>
              <w:t>fulfillment of procedural safeguard, including issuance of show cause notice, grant of reasonable opportunity, recording and finding. This amounts to colorful exercise of power, a legal concept de</w:t>
            </w:r>
            <w:r>
              <w:rPr>
                <w:rFonts w:ascii="Times New Roman" w:eastAsia="Calibri" w:hAnsi="Times New Roman" w:cs="Times New Roman"/>
                <w:sz w:val="24"/>
                <w:szCs w:val="24"/>
              </w:rPr>
              <w:t>e</w:t>
            </w:r>
            <w:r w:rsidRPr="007363BF">
              <w:rPr>
                <w:rFonts w:ascii="Times New Roman" w:eastAsia="Calibri" w:hAnsi="Times New Roman" w:cs="Times New Roman"/>
                <w:sz w:val="24"/>
                <w:szCs w:val="24"/>
              </w:rPr>
              <w:t>ply embedded in Indian Constitution Jurisprudence</w:t>
            </w:r>
            <w:r>
              <w:rPr>
                <w:rFonts w:ascii="Times New Roman" w:eastAsia="Calibri" w:hAnsi="Times New Roman" w:cs="Times New Roman"/>
                <w:b/>
                <w:sz w:val="24"/>
                <w:szCs w:val="24"/>
                <w:u w:val="single"/>
              </w:rPr>
              <w:t>.</w:t>
            </w:r>
          </w:p>
          <w:p w:rsidR="00DD4B62" w:rsidRDefault="00DD4B62" w:rsidP="009507AD">
            <w:pPr>
              <w:spacing w:after="200" w:line="36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u w:val="single"/>
              </w:rPr>
              <w:t xml:space="preserve">Para 102: </w:t>
            </w:r>
            <w:r w:rsidRPr="007363BF">
              <w:rPr>
                <w:rFonts w:ascii="Times New Roman" w:eastAsia="Calibri" w:hAnsi="Times New Roman" w:cs="Times New Roman"/>
                <w:sz w:val="24"/>
                <w:szCs w:val="24"/>
              </w:rPr>
              <w:t xml:space="preserve">grace risk that arbitrary action of this nature may encourage undesirable practices, including possible nexus between vested </w:t>
            </w:r>
            <w:r>
              <w:rPr>
                <w:rFonts w:ascii="Times New Roman" w:eastAsia="Calibri" w:hAnsi="Times New Roman" w:cs="Times New Roman"/>
                <w:sz w:val="24"/>
                <w:szCs w:val="24"/>
              </w:rPr>
              <w:t xml:space="preserve">parties and certain regulatory authorities. </w:t>
            </w:r>
            <w:r w:rsidRPr="00894B15">
              <w:rPr>
                <w:rFonts w:ascii="Times New Roman" w:eastAsia="Calibri" w:hAnsi="Times New Roman" w:cs="Times New Roman"/>
                <w:b/>
                <w:sz w:val="24"/>
                <w:szCs w:val="24"/>
              </w:rPr>
              <w:t>Ignored multiple binding precedents of the Court, failed to disclose the basis of adverse factual conclusion and proceedings to pass order with serious civil consequences</w:t>
            </w:r>
            <w:r>
              <w:rPr>
                <w:rFonts w:ascii="Times New Roman" w:eastAsia="Calibri" w:hAnsi="Times New Roman" w:cs="Times New Roman"/>
                <w:sz w:val="24"/>
                <w:szCs w:val="24"/>
              </w:rPr>
              <w:t xml:space="preserve">. </w:t>
            </w:r>
          </w:p>
          <w:p w:rsidR="00DD4B62" w:rsidRPr="00BF0142" w:rsidRDefault="00DD4B62" w:rsidP="009507AD">
            <w:pPr>
              <w:spacing w:after="200" w:line="360" w:lineRule="auto"/>
              <w:jc w:val="both"/>
              <w:rPr>
                <w:rFonts w:ascii="Times New Roman" w:eastAsia="Calibri" w:hAnsi="Times New Roman" w:cs="Times New Roman"/>
                <w:sz w:val="24"/>
                <w:szCs w:val="24"/>
              </w:rPr>
            </w:pPr>
            <w:r w:rsidRPr="007363BF">
              <w:rPr>
                <w:rFonts w:ascii="Times New Roman" w:eastAsia="Calibri" w:hAnsi="Times New Roman" w:cs="Times New Roman"/>
                <w:b/>
                <w:sz w:val="24"/>
                <w:szCs w:val="24"/>
                <w:u w:val="single"/>
              </w:rPr>
              <w:t>Order para ii:</w:t>
            </w:r>
            <w:r>
              <w:rPr>
                <w:rFonts w:ascii="Times New Roman" w:eastAsia="Calibri" w:hAnsi="Times New Roman" w:cs="Times New Roman"/>
                <w:sz w:val="24"/>
                <w:szCs w:val="24"/>
              </w:rPr>
              <w:t xml:space="preserve"> </w:t>
            </w:r>
            <w:r w:rsidRPr="00E328AC">
              <w:rPr>
                <w:rFonts w:ascii="Times New Roman" w:eastAsia="Calibri" w:hAnsi="Times New Roman" w:cs="Times New Roman"/>
                <w:b/>
                <w:color w:val="FF0000"/>
                <w:sz w:val="24"/>
                <w:szCs w:val="24"/>
              </w:rPr>
              <w:t>ignoring binding precedents, relying on unverified factual information and passing orders in breach of natural justice.</w:t>
            </w:r>
            <w:r w:rsidRPr="00E328AC">
              <w:rPr>
                <w:rFonts w:ascii="Times New Roman" w:eastAsia="Calibri" w:hAnsi="Times New Roman" w:cs="Times New Roman"/>
                <w:color w:val="FF0000"/>
                <w:sz w:val="24"/>
                <w:szCs w:val="24"/>
              </w:rPr>
              <w:t xml:space="preserve"> </w:t>
            </w:r>
          </w:p>
        </w:tc>
        <w:tc>
          <w:tcPr>
            <w:tcW w:w="900" w:type="dxa"/>
          </w:tcPr>
          <w:p w:rsidR="00DD4B62" w:rsidRPr="007C5E60" w:rsidRDefault="00DD4B62" w:rsidP="009507AD">
            <w:pPr>
              <w:spacing w:line="360" w:lineRule="auto"/>
              <w:rPr>
                <w:rFonts w:ascii="Times New Roman" w:eastAsia="Times New Roman" w:hAnsi="Times New Roman" w:cs="Times New Roman"/>
                <w:b/>
                <w:bCs/>
                <w:sz w:val="24"/>
                <w:szCs w:val="24"/>
              </w:rPr>
            </w:pPr>
          </w:p>
        </w:tc>
      </w:tr>
    </w:tbl>
    <w:p w:rsidR="00DD4B62" w:rsidRDefault="00DD4B62" w:rsidP="00295AB0">
      <w:pPr>
        <w:pStyle w:val="isselectedend"/>
        <w:jc w:val="both"/>
      </w:pPr>
    </w:p>
    <w:tbl>
      <w:tblPr>
        <w:tblStyle w:val="TableGrid"/>
        <w:tblW w:w="0" w:type="auto"/>
        <w:tblInd w:w="715" w:type="dxa"/>
        <w:tblLook w:val="04A0" w:firstRow="1" w:lastRow="0" w:firstColumn="1" w:lastColumn="0" w:noHBand="0" w:noVBand="1"/>
      </w:tblPr>
      <w:tblGrid>
        <w:gridCol w:w="1080"/>
        <w:gridCol w:w="6030"/>
        <w:gridCol w:w="900"/>
      </w:tblGrid>
      <w:tr w:rsidR="00DD4B62" w:rsidRPr="008F45F5" w:rsidTr="009507AD">
        <w:tc>
          <w:tcPr>
            <w:tcW w:w="1080" w:type="dxa"/>
          </w:tcPr>
          <w:p w:rsidR="00DD4B62" w:rsidRPr="00131AA1" w:rsidRDefault="00DD4B62" w:rsidP="00DD4B62">
            <w:pPr>
              <w:pStyle w:val="ListParagraph"/>
              <w:spacing w:line="360" w:lineRule="auto"/>
              <w:rPr>
                <w:rFonts w:ascii="Times New Roman" w:eastAsia="Times New Roman" w:hAnsi="Times New Roman" w:cs="Times New Roman"/>
                <w:b/>
                <w:bCs/>
                <w:sz w:val="24"/>
                <w:szCs w:val="24"/>
              </w:rPr>
            </w:pPr>
          </w:p>
        </w:tc>
        <w:tc>
          <w:tcPr>
            <w:tcW w:w="6030" w:type="dxa"/>
          </w:tcPr>
          <w:p w:rsidR="00DD4B62" w:rsidRDefault="00DD4B62" w:rsidP="009507AD">
            <w:pPr>
              <w:spacing w:line="256" w:lineRule="auto"/>
              <w:jc w:val="both"/>
              <w:rPr>
                <w:rFonts w:ascii="Times New Roman" w:hAnsi="Times New Roman" w:cs="Times New Roman"/>
                <w:b/>
                <w:sz w:val="24"/>
                <w:szCs w:val="24"/>
                <w:u w:val="single"/>
              </w:rPr>
            </w:pPr>
            <w:proofErr w:type="spellStart"/>
            <w:r>
              <w:rPr>
                <w:rFonts w:ascii="Times New Roman" w:hAnsi="Times New Roman" w:cs="Times New Roman"/>
                <w:b/>
                <w:sz w:val="24"/>
                <w:szCs w:val="24"/>
                <w:u w:val="single"/>
              </w:rPr>
              <w:t>Siddhraman</w:t>
            </w:r>
            <w:proofErr w:type="spellEnd"/>
            <w:r>
              <w:rPr>
                <w:rFonts w:ascii="Times New Roman" w:hAnsi="Times New Roman" w:cs="Times New Roman"/>
                <w:b/>
                <w:sz w:val="24"/>
                <w:szCs w:val="24"/>
                <w:u w:val="single"/>
              </w:rPr>
              <w:t xml:space="preserve"> </w:t>
            </w:r>
            <w:proofErr w:type="spellStart"/>
            <w:r>
              <w:rPr>
                <w:rFonts w:ascii="Times New Roman" w:hAnsi="Times New Roman" w:cs="Times New Roman"/>
                <w:b/>
                <w:sz w:val="24"/>
                <w:szCs w:val="24"/>
                <w:u w:val="single"/>
              </w:rPr>
              <w:t>Salingappa</w:t>
            </w:r>
            <w:proofErr w:type="spellEnd"/>
            <w:r>
              <w:rPr>
                <w:rFonts w:ascii="Times New Roman" w:hAnsi="Times New Roman" w:cs="Times New Roman"/>
                <w:b/>
                <w:sz w:val="24"/>
                <w:szCs w:val="24"/>
                <w:u w:val="single"/>
              </w:rPr>
              <w:t xml:space="preserve"> </w:t>
            </w:r>
            <w:proofErr w:type="spellStart"/>
            <w:r>
              <w:rPr>
                <w:rFonts w:ascii="Times New Roman" w:hAnsi="Times New Roman" w:cs="Times New Roman"/>
                <w:b/>
                <w:sz w:val="24"/>
                <w:szCs w:val="24"/>
                <w:u w:val="single"/>
              </w:rPr>
              <w:t>Mhetre</w:t>
            </w:r>
            <w:proofErr w:type="spellEnd"/>
            <w:r>
              <w:rPr>
                <w:rFonts w:ascii="Times New Roman" w:hAnsi="Times New Roman" w:cs="Times New Roman"/>
                <w:b/>
                <w:sz w:val="24"/>
                <w:szCs w:val="24"/>
                <w:u w:val="single"/>
              </w:rPr>
              <w:t xml:space="preserve"> v/s State of </w:t>
            </w:r>
            <w:proofErr w:type="spellStart"/>
            <w:r>
              <w:rPr>
                <w:rFonts w:ascii="Times New Roman" w:hAnsi="Times New Roman" w:cs="Times New Roman"/>
                <w:b/>
                <w:sz w:val="24"/>
                <w:szCs w:val="24"/>
                <w:u w:val="single"/>
              </w:rPr>
              <w:t>Mah</w:t>
            </w:r>
            <w:proofErr w:type="spellEnd"/>
            <w:r>
              <w:rPr>
                <w:rFonts w:ascii="Times New Roman" w:hAnsi="Times New Roman" w:cs="Times New Roman"/>
                <w:b/>
                <w:sz w:val="24"/>
                <w:szCs w:val="24"/>
                <w:u w:val="single"/>
              </w:rPr>
              <w:t xml:space="preserve">. </w:t>
            </w:r>
          </w:p>
          <w:p w:rsidR="00DD4B62" w:rsidRDefault="00DD4B62" w:rsidP="009507AD">
            <w:pPr>
              <w:spacing w:line="256" w:lineRule="auto"/>
              <w:jc w:val="both"/>
              <w:rPr>
                <w:rFonts w:ascii="Times New Roman" w:hAnsi="Times New Roman" w:cs="Times New Roman"/>
                <w:b/>
                <w:sz w:val="24"/>
                <w:szCs w:val="24"/>
                <w:u w:val="single"/>
              </w:rPr>
            </w:pPr>
          </w:p>
          <w:p w:rsidR="00DD4B62" w:rsidRDefault="00DD4B62" w:rsidP="009507AD">
            <w:pPr>
              <w:spacing w:line="256"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 xml:space="preserve">CRA 2271 of 2010 arising out of </w:t>
            </w:r>
            <w:proofErr w:type="gramStart"/>
            <w:r>
              <w:rPr>
                <w:rFonts w:ascii="Times New Roman" w:hAnsi="Times New Roman" w:cs="Times New Roman"/>
                <w:b/>
                <w:sz w:val="24"/>
                <w:szCs w:val="24"/>
                <w:u w:val="single"/>
              </w:rPr>
              <w:t>SLP( Cri</w:t>
            </w:r>
            <w:proofErr w:type="gramEnd"/>
            <w:r>
              <w:rPr>
                <w:rFonts w:ascii="Times New Roman" w:hAnsi="Times New Roman" w:cs="Times New Roman"/>
                <w:b/>
                <w:sz w:val="24"/>
                <w:szCs w:val="24"/>
                <w:u w:val="single"/>
              </w:rPr>
              <w:t xml:space="preserve">) 7615 of 2009 </w:t>
            </w:r>
          </w:p>
          <w:p w:rsidR="00DD4B62" w:rsidRDefault="00DD4B62" w:rsidP="009507AD">
            <w:pPr>
              <w:spacing w:line="256" w:lineRule="auto"/>
              <w:jc w:val="both"/>
              <w:rPr>
                <w:rFonts w:ascii="Times New Roman" w:hAnsi="Times New Roman" w:cs="Times New Roman"/>
                <w:b/>
                <w:sz w:val="24"/>
                <w:szCs w:val="24"/>
                <w:u w:val="single"/>
              </w:rPr>
            </w:pPr>
          </w:p>
          <w:p w:rsidR="00DD4B62" w:rsidRDefault="00DD4B62" w:rsidP="009507AD">
            <w:pPr>
              <w:spacing w:line="256"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 xml:space="preserve">J </w:t>
            </w:r>
            <w:proofErr w:type="spellStart"/>
            <w:r>
              <w:rPr>
                <w:rFonts w:ascii="Times New Roman" w:hAnsi="Times New Roman" w:cs="Times New Roman"/>
                <w:b/>
                <w:sz w:val="24"/>
                <w:szCs w:val="24"/>
                <w:u w:val="single"/>
              </w:rPr>
              <w:t>Dalvir</w:t>
            </w:r>
            <w:proofErr w:type="spellEnd"/>
            <w:r>
              <w:rPr>
                <w:rFonts w:ascii="Times New Roman" w:hAnsi="Times New Roman" w:cs="Times New Roman"/>
                <w:b/>
                <w:sz w:val="24"/>
                <w:szCs w:val="24"/>
                <w:u w:val="single"/>
              </w:rPr>
              <w:t xml:space="preserve"> Bhandari and K.S. </w:t>
            </w:r>
            <w:proofErr w:type="spellStart"/>
            <w:r>
              <w:rPr>
                <w:rFonts w:ascii="Times New Roman" w:hAnsi="Times New Roman" w:cs="Times New Roman"/>
                <w:b/>
                <w:sz w:val="24"/>
                <w:szCs w:val="24"/>
                <w:u w:val="single"/>
              </w:rPr>
              <w:t>Panicker</w:t>
            </w:r>
            <w:proofErr w:type="spellEnd"/>
            <w:r>
              <w:rPr>
                <w:rFonts w:ascii="Times New Roman" w:hAnsi="Times New Roman" w:cs="Times New Roman"/>
                <w:b/>
                <w:sz w:val="24"/>
                <w:szCs w:val="24"/>
                <w:u w:val="single"/>
              </w:rPr>
              <w:t xml:space="preserve"> </w:t>
            </w:r>
            <w:proofErr w:type="spellStart"/>
            <w:r>
              <w:rPr>
                <w:rFonts w:ascii="Times New Roman" w:hAnsi="Times New Roman" w:cs="Times New Roman"/>
                <w:b/>
                <w:sz w:val="24"/>
                <w:szCs w:val="24"/>
                <w:u w:val="single"/>
              </w:rPr>
              <w:t>Radhakrishnan</w:t>
            </w:r>
            <w:proofErr w:type="spellEnd"/>
            <w:r>
              <w:rPr>
                <w:rFonts w:ascii="Times New Roman" w:hAnsi="Times New Roman" w:cs="Times New Roman"/>
                <w:b/>
                <w:sz w:val="24"/>
                <w:szCs w:val="24"/>
                <w:u w:val="single"/>
              </w:rPr>
              <w:t>.</w:t>
            </w:r>
          </w:p>
          <w:p w:rsidR="00DD4B62" w:rsidRDefault="00DD4B62" w:rsidP="009507AD">
            <w:pPr>
              <w:spacing w:line="256" w:lineRule="auto"/>
              <w:jc w:val="both"/>
              <w:rPr>
                <w:rFonts w:ascii="Times New Roman" w:hAnsi="Times New Roman" w:cs="Times New Roman"/>
                <w:b/>
                <w:sz w:val="24"/>
                <w:szCs w:val="24"/>
                <w:u w:val="single"/>
              </w:rPr>
            </w:pPr>
          </w:p>
          <w:p w:rsidR="00DD4B62" w:rsidRDefault="00DD4B62" w:rsidP="009507AD">
            <w:pPr>
              <w:spacing w:line="256" w:lineRule="auto"/>
              <w:jc w:val="both"/>
              <w:rPr>
                <w:rFonts w:ascii="Times New Roman" w:hAnsi="Times New Roman" w:cs="Times New Roman"/>
                <w:sz w:val="24"/>
                <w:szCs w:val="24"/>
              </w:rPr>
            </w:pPr>
            <w:r w:rsidRPr="001E5A4C">
              <w:rPr>
                <w:rFonts w:ascii="Times New Roman" w:hAnsi="Times New Roman" w:cs="Times New Roman"/>
                <w:sz w:val="24"/>
                <w:szCs w:val="24"/>
              </w:rPr>
              <w:t xml:space="preserve">judicial officers and public servants are clearly bound to follow the judgement of the Constitutional Bench. </w:t>
            </w:r>
          </w:p>
          <w:p w:rsidR="00DD4B62" w:rsidRDefault="00DD4B62" w:rsidP="009507AD">
            <w:pPr>
              <w:spacing w:line="256" w:lineRule="auto"/>
              <w:jc w:val="both"/>
              <w:rPr>
                <w:rFonts w:ascii="Times New Roman" w:hAnsi="Times New Roman" w:cs="Times New Roman"/>
                <w:sz w:val="24"/>
                <w:szCs w:val="24"/>
              </w:rPr>
            </w:pPr>
          </w:p>
          <w:p w:rsidR="00DD4B62" w:rsidRDefault="00DD4B62" w:rsidP="009507AD">
            <w:pPr>
              <w:spacing w:line="256" w:lineRule="auto"/>
              <w:jc w:val="both"/>
              <w:rPr>
                <w:rFonts w:ascii="Times New Roman" w:eastAsia="Times New Roman" w:hAnsi="Times New Roman" w:cs="Times New Roman"/>
                <w:bCs/>
                <w:sz w:val="24"/>
                <w:szCs w:val="24"/>
              </w:rPr>
            </w:pPr>
            <w:r w:rsidRPr="003F0424">
              <w:rPr>
                <w:rFonts w:ascii="Times New Roman" w:hAnsi="Times New Roman" w:cs="Times New Roman"/>
                <w:b/>
                <w:sz w:val="24"/>
                <w:szCs w:val="24"/>
                <w:u w:val="single"/>
              </w:rPr>
              <w:lastRenderedPageBreak/>
              <w:t>Para 151 last 2 lines:</w:t>
            </w:r>
            <w:r>
              <w:rPr>
                <w:rFonts w:ascii="Times New Roman" w:hAnsi="Times New Roman" w:cs="Times New Roman"/>
                <w:sz w:val="24"/>
                <w:szCs w:val="24"/>
              </w:rPr>
              <w:t xml:space="preserve"> </w:t>
            </w:r>
            <w:r w:rsidRPr="00CD202C">
              <w:rPr>
                <w:rFonts w:ascii="Times New Roman" w:hAnsi="Times New Roman" w:cs="Times New Roman"/>
                <w:b/>
                <w:sz w:val="24"/>
                <w:szCs w:val="24"/>
              </w:rPr>
              <w:t xml:space="preserve">The Judicial discipline obliges the subordinate Judicial officers to follow the order of the Constitution Bench in letter and spirit.  </w:t>
            </w:r>
          </w:p>
        </w:tc>
        <w:tc>
          <w:tcPr>
            <w:tcW w:w="900" w:type="dxa"/>
          </w:tcPr>
          <w:p w:rsidR="00DD4B62" w:rsidRPr="008F45F5" w:rsidRDefault="00DD4B62" w:rsidP="009507AD">
            <w:pPr>
              <w:spacing w:line="360" w:lineRule="auto"/>
              <w:rPr>
                <w:rFonts w:ascii="Times New Roman" w:eastAsia="Times New Roman" w:hAnsi="Times New Roman" w:cs="Times New Roman"/>
                <w:b/>
                <w:bCs/>
                <w:sz w:val="24"/>
                <w:szCs w:val="24"/>
              </w:rPr>
            </w:pPr>
          </w:p>
        </w:tc>
      </w:tr>
    </w:tbl>
    <w:p w:rsidR="00AF3F6F" w:rsidRPr="004251FC" w:rsidRDefault="00AF3F6F" w:rsidP="00AF3F6F">
      <w:pPr>
        <w:pStyle w:val="isselectedend"/>
        <w:numPr>
          <w:ilvl w:val="0"/>
          <w:numId w:val="3"/>
        </w:numPr>
        <w:rPr>
          <w:b/>
          <w:u w:val="single"/>
        </w:rPr>
      </w:pPr>
      <w:bookmarkStart w:id="0" w:name="_GoBack"/>
      <w:bookmarkEnd w:id="0"/>
      <w:r w:rsidRPr="004251FC">
        <w:rPr>
          <w:b/>
          <w:u w:val="single"/>
        </w:rPr>
        <w:lastRenderedPageBreak/>
        <w:t>Capping of Prompt Payment Rebate</w:t>
      </w:r>
    </w:p>
    <w:p w:rsidR="00AF3F6F" w:rsidRDefault="00AF3F6F" w:rsidP="004251FC">
      <w:pPr>
        <w:pStyle w:val="isselectedend"/>
        <w:jc w:val="both"/>
      </w:pPr>
      <w:r>
        <w:t>(a) Consumers making prompt payment of electricity bills are granted a rebate intended to encourage timely compliance.</w:t>
      </w:r>
    </w:p>
    <w:p w:rsidR="00AF3F6F" w:rsidRDefault="00AF3F6F" w:rsidP="004251FC">
      <w:pPr>
        <w:pStyle w:val="isselectedend"/>
        <w:jc w:val="both"/>
      </w:pPr>
      <w:r>
        <w:t xml:space="preserve">(b) However, such rebate is </w:t>
      </w:r>
      <w:r>
        <w:rPr>
          <w:rStyle w:val="Strong"/>
        </w:rPr>
        <w:t>subject to a maximum cap</w:t>
      </w:r>
      <w:r>
        <w:t>, thereby restricting the benefit that consumers may receive even when bills are paid promptly.</w:t>
      </w:r>
    </w:p>
    <w:p w:rsidR="00AF3F6F" w:rsidRDefault="00AF3F6F" w:rsidP="004251FC">
      <w:pPr>
        <w:pStyle w:val="isselectedend"/>
        <w:jc w:val="both"/>
      </w:pPr>
      <w:r>
        <w:t>(c) While the benefit available to consumers is capped, the delayed payment surcharge continues to accumulate without any corresponding cap or limitation.</w:t>
      </w:r>
    </w:p>
    <w:p w:rsidR="00AF3F6F" w:rsidRDefault="00AF3F6F" w:rsidP="004251FC">
      <w:pPr>
        <w:pStyle w:val="isselectedend"/>
        <w:jc w:val="both"/>
      </w:pPr>
      <w:r>
        <w:t>(d) This creates a situation where consumer benefits are restricted while consumer liabilities remain unrestricted.</w:t>
      </w:r>
    </w:p>
    <w:p w:rsidR="00AF3F6F" w:rsidRPr="004251FC" w:rsidRDefault="00AF3F6F" w:rsidP="00AF3F6F">
      <w:pPr>
        <w:pStyle w:val="isselectedend"/>
        <w:numPr>
          <w:ilvl w:val="0"/>
          <w:numId w:val="4"/>
        </w:numPr>
        <w:rPr>
          <w:b/>
          <w:u w:val="single"/>
        </w:rPr>
      </w:pPr>
      <w:r w:rsidRPr="004251FC">
        <w:rPr>
          <w:b/>
          <w:u w:val="single"/>
        </w:rPr>
        <w:t>Penalties in ECS / Auto Debit Transactions</w:t>
      </w:r>
    </w:p>
    <w:p w:rsidR="00AF3F6F" w:rsidRDefault="00AF3F6F" w:rsidP="004251FC">
      <w:pPr>
        <w:pStyle w:val="isselectedend"/>
        <w:jc w:val="both"/>
      </w:pPr>
      <w:r>
        <w:t xml:space="preserve">(a) Consumers are encouraged to adopt </w:t>
      </w:r>
      <w:r>
        <w:rPr>
          <w:rStyle w:val="Strong"/>
        </w:rPr>
        <w:t>ECS / auto-debit payment mechanisms</w:t>
      </w:r>
      <w:r>
        <w:t xml:space="preserve"> in order to ensure timely payment of electricity bills.</w:t>
      </w:r>
    </w:p>
    <w:p w:rsidR="00AF3F6F" w:rsidRDefault="00AF3F6F" w:rsidP="004251FC">
      <w:pPr>
        <w:pStyle w:val="isselectedend"/>
        <w:jc w:val="both"/>
      </w:pPr>
      <w:r>
        <w:t>(b) However, in certain cases ECS transactions may fail due to banking delays, technical errors or processing issues beyond the control of the consumer.</w:t>
      </w:r>
    </w:p>
    <w:p w:rsidR="00AF3F6F" w:rsidRDefault="00AF3F6F" w:rsidP="004251FC">
      <w:pPr>
        <w:pStyle w:val="isselectedend"/>
        <w:jc w:val="both"/>
      </w:pPr>
      <w:r>
        <w:t>(c) Despite the consumer having authorized automatic payment through ECS, delayed payment surcharge or penalties are still levied.</w:t>
      </w:r>
    </w:p>
    <w:p w:rsidR="00AF3F6F" w:rsidRDefault="00AF3F6F" w:rsidP="004251FC">
      <w:pPr>
        <w:pStyle w:val="isselectedend"/>
        <w:jc w:val="both"/>
      </w:pPr>
      <w:r>
        <w:t>(d) Penalizing consumers in such circumstances defeats the purpose of the ECS system and appears to constitute an unfair billing practice.</w:t>
      </w:r>
    </w:p>
    <w:p w:rsidR="00AF3F6F" w:rsidRPr="004251FC" w:rsidRDefault="00AF3F6F" w:rsidP="00AF3F6F">
      <w:pPr>
        <w:pStyle w:val="isselectedend"/>
        <w:numPr>
          <w:ilvl w:val="0"/>
          <w:numId w:val="5"/>
        </w:numPr>
        <w:rPr>
          <w:b/>
          <w:u w:val="single"/>
        </w:rPr>
      </w:pPr>
      <w:r w:rsidRPr="004251FC">
        <w:rPr>
          <w:b/>
          <w:u w:val="single"/>
        </w:rPr>
        <w:t>Resulting Financial Imbalance</w:t>
      </w:r>
    </w:p>
    <w:p w:rsidR="00AF3F6F" w:rsidRDefault="00AF3F6F" w:rsidP="00AF3F6F">
      <w:pPr>
        <w:pStyle w:val="isselectedend"/>
      </w:pPr>
      <w:r>
        <w:t>The cumulative effect of the above practices results in the following imbalance:</w:t>
      </w:r>
    </w:p>
    <w:p w:rsidR="00AF3F6F" w:rsidRDefault="00AF3F6F" w:rsidP="003169EF">
      <w:pPr>
        <w:pStyle w:val="isselectedend"/>
        <w:jc w:val="both"/>
      </w:pPr>
      <w:r>
        <w:t xml:space="preserve">(a) Consumers receive approximately </w:t>
      </w:r>
      <w:r>
        <w:rPr>
          <w:rStyle w:val="Strong"/>
        </w:rPr>
        <w:t>4% interest on compulsory security deposits</w:t>
      </w:r>
      <w:r>
        <w:t>.</w:t>
      </w:r>
    </w:p>
    <w:p w:rsidR="00AF3F6F" w:rsidRDefault="00AF3F6F" w:rsidP="003169EF">
      <w:pPr>
        <w:pStyle w:val="isselectedend"/>
        <w:jc w:val="both"/>
      </w:pPr>
      <w:r>
        <w:t xml:space="preserve">(b) Consumers are charged approximately </w:t>
      </w:r>
      <w:r>
        <w:rPr>
          <w:rStyle w:val="Strong"/>
        </w:rPr>
        <w:t>15% interest in the form of delayed payment surcharge</w:t>
      </w:r>
      <w:r>
        <w:t>.</w:t>
      </w:r>
    </w:p>
    <w:p w:rsidR="00AF3F6F" w:rsidRDefault="00AF3F6F" w:rsidP="003169EF">
      <w:pPr>
        <w:pStyle w:val="isselectedend"/>
        <w:jc w:val="both"/>
      </w:pPr>
      <w:r>
        <w:t xml:space="preserve">(c) Benefits available to consumers such as prompt payment rebates are </w:t>
      </w:r>
      <w:r>
        <w:rPr>
          <w:rStyle w:val="Strong"/>
        </w:rPr>
        <w:t>capped</w:t>
      </w:r>
      <w:r>
        <w:t>.</w:t>
      </w:r>
    </w:p>
    <w:p w:rsidR="00AF3F6F" w:rsidRDefault="00AF3F6F" w:rsidP="003169EF">
      <w:pPr>
        <w:pStyle w:val="isselectedend"/>
        <w:jc w:val="both"/>
      </w:pPr>
      <w:r>
        <w:t xml:space="preserve">(d) Penalties imposed on consumers remain </w:t>
      </w:r>
      <w:r>
        <w:rPr>
          <w:rStyle w:val="Strong"/>
        </w:rPr>
        <w:t>uncapped and continuously accruing</w:t>
      </w:r>
      <w:r>
        <w:t>.</w:t>
      </w:r>
    </w:p>
    <w:p w:rsidR="00AF3F6F" w:rsidRDefault="00AF3F6F" w:rsidP="003169EF">
      <w:pPr>
        <w:pStyle w:val="isselectedend"/>
        <w:jc w:val="both"/>
      </w:pPr>
      <w:r>
        <w:lastRenderedPageBreak/>
        <w:t>(e) Consumers opting for ECS payment systems are still exposed to penalties even when failures occur due to technical or banking reasons.</w:t>
      </w:r>
    </w:p>
    <w:p w:rsidR="00AF3F6F" w:rsidRPr="004251FC" w:rsidRDefault="00AF3F6F" w:rsidP="00AF3F6F">
      <w:pPr>
        <w:pStyle w:val="isselectedend"/>
        <w:numPr>
          <w:ilvl w:val="0"/>
          <w:numId w:val="6"/>
        </w:numPr>
        <w:rPr>
          <w:b/>
          <w:u w:val="single"/>
        </w:rPr>
      </w:pPr>
      <w:r w:rsidRPr="004251FC">
        <w:rPr>
          <w:b/>
          <w:u w:val="single"/>
        </w:rPr>
        <w:t>Statutory Framework</w:t>
      </w:r>
    </w:p>
    <w:p w:rsidR="00AF3F6F" w:rsidRDefault="00AF3F6F" w:rsidP="00AF3F6F">
      <w:pPr>
        <w:pStyle w:val="isselectedend"/>
      </w:pPr>
      <w:r>
        <w:t>The above structure appears inconsistent with the principles contained in the Electricity Act, 2003, including:</w:t>
      </w:r>
    </w:p>
    <w:p w:rsidR="00AF3F6F" w:rsidRDefault="00AF3F6F" w:rsidP="00AF3F6F">
      <w:pPr>
        <w:pStyle w:val="isselectedend"/>
      </w:pPr>
      <w:r>
        <w:t xml:space="preserve">(a) </w:t>
      </w:r>
      <w:r>
        <w:rPr>
          <w:rStyle w:val="Strong"/>
        </w:rPr>
        <w:t>Section 47(4)</w:t>
      </w:r>
      <w:r>
        <w:t xml:space="preserve"> – requiring payment of interest on security deposits.</w:t>
      </w:r>
    </w:p>
    <w:p w:rsidR="00AF3F6F" w:rsidRDefault="00AF3F6F" w:rsidP="00AF3F6F">
      <w:pPr>
        <w:pStyle w:val="isselectedend"/>
      </w:pPr>
      <w:r>
        <w:t xml:space="preserve">(b) </w:t>
      </w:r>
      <w:r>
        <w:rPr>
          <w:rStyle w:val="Strong"/>
        </w:rPr>
        <w:t>Section 61(d)</w:t>
      </w:r>
      <w:r>
        <w:t xml:space="preserve"> – requiring tariff policies to safeguard consumer interests.</w:t>
      </w:r>
    </w:p>
    <w:p w:rsidR="00AF3F6F" w:rsidRDefault="00AF3F6F" w:rsidP="00AF3F6F">
      <w:pPr>
        <w:pStyle w:val="isselectedend"/>
      </w:pPr>
      <w:r>
        <w:t xml:space="preserve">(c) </w:t>
      </w:r>
      <w:r>
        <w:rPr>
          <w:rStyle w:val="Strong"/>
        </w:rPr>
        <w:t>Section 62</w:t>
      </w:r>
      <w:r>
        <w:t xml:space="preserve"> – governing fair determination of tariff components by the Commission.</w:t>
      </w:r>
    </w:p>
    <w:p w:rsidR="00AF3F6F" w:rsidRDefault="00AF3F6F" w:rsidP="00AF3F6F">
      <w:pPr>
        <w:pStyle w:val="isselectedend"/>
      </w:pPr>
      <w:r>
        <w:t xml:space="preserve">(d) </w:t>
      </w:r>
      <w:r>
        <w:rPr>
          <w:rStyle w:val="Strong"/>
        </w:rPr>
        <w:t>Section 45</w:t>
      </w:r>
      <w:r>
        <w:t xml:space="preserve"> – permitting recovery of charges only in accordance with approved tariffs and in a reasonable manner.</w:t>
      </w:r>
    </w:p>
    <w:p w:rsidR="00AF3F6F" w:rsidRPr="003169EF" w:rsidRDefault="00AF3F6F" w:rsidP="003169EF">
      <w:pPr>
        <w:pStyle w:val="isselectedend"/>
        <w:numPr>
          <w:ilvl w:val="0"/>
          <w:numId w:val="7"/>
        </w:numPr>
        <w:jc w:val="both"/>
        <w:rPr>
          <w:b/>
          <w:u w:val="single"/>
        </w:rPr>
      </w:pPr>
      <w:r w:rsidRPr="003169EF">
        <w:rPr>
          <w:b/>
          <w:u w:val="single"/>
        </w:rPr>
        <w:t>Clarification Requested</w:t>
      </w:r>
    </w:p>
    <w:p w:rsidR="00AF3F6F" w:rsidRDefault="00AF3F6F" w:rsidP="003169EF">
      <w:pPr>
        <w:pStyle w:val="isselectedend"/>
        <w:jc w:val="both"/>
      </w:pPr>
      <w:r>
        <w:t>In view of the above, clarification is respectfully sought on the following:</w:t>
      </w:r>
    </w:p>
    <w:p w:rsidR="00AF3F6F" w:rsidRDefault="00AF3F6F" w:rsidP="003169EF">
      <w:pPr>
        <w:pStyle w:val="isselectedend"/>
        <w:jc w:val="both"/>
      </w:pPr>
      <w:r>
        <w:t xml:space="preserve">(a) The legal and regulatory basis for paying only </w:t>
      </w:r>
      <w:r>
        <w:rPr>
          <w:rStyle w:val="Strong"/>
        </w:rPr>
        <w:t>4% interest on consumer security deposits</w:t>
      </w:r>
      <w:r>
        <w:t>.</w:t>
      </w:r>
    </w:p>
    <w:p w:rsidR="00AF3F6F" w:rsidRDefault="00AF3F6F" w:rsidP="003169EF">
      <w:pPr>
        <w:pStyle w:val="isselectedend"/>
        <w:jc w:val="both"/>
      </w:pPr>
      <w:r>
        <w:t xml:space="preserve">(b) The justification for charging approximately </w:t>
      </w:r>
      <w:r>
        <w:rPr>
          <w:rStyle w:val="Strong"/>
        </w:rPr>
        <w:t>15% annual interest through delayed payment surcharge</w:t>
      </w:r>
      <w:r>
        <w:t>.</w:t>
      </w:r>
    </w:p>
    <w:p w:rsidR="00AF3F6F" w:rsidRDefault="00AF3F6F" w:rsidP="003169EF">
      <w:pPr>
        <w:pStyle w:val="isselectedend"/>
        <w:jc w:val="both"/>
      </w:pPr>
      <w:r>
        <w:t xml:space="preserve">(c) The reason for </w:t>
      </w:r>
      <w:r>
        <w:rPr>
          <w:rStyle w:val="Strong"/>
        </w:rPr>
        <w:t>capping prompt payment rebates while not imposing any cap on delayed payment surcharge</w:t>
      </w:r>
      <w:r>
        <w:t>.</w:t>
      </w:r>
    </w:p>
    <w:p w:rsidR="00AF3F6F" w:rsidRDefault="00AF3F6F" w:rsidP="003169EF">
      <w:pPr>
        <w:pStyle w:val="isselectedend"/>
        <w:jc w:val="both"/>
      </w:pPr>
      <w:r>
        <w:t xml:space="preserve">(d) The legal basis for </w:t>
      </w:r>
      <w:r>
        <w:rPr>
          <w:rStyle w:val="Strong"/>
        </w:rPr>
        <w:t>levying penalties in cases where ECS / auto debit payment has already been authorized by the consumer</w:t>
      </w:r>
      <w:r>
        <w:t>.</w:t>
      </w:r>
    </w:p>
    <w:p w:rsidR="00AF3F6F" w:rsidRDefault="00AF3F6F" w:rsidP="00AF3F6F">
      <w:pPr>
        <w:pStyle w:val="isselectedend"/>
        <w:numPr>
          <w:ilvl w:val="0"/>
          <w:numId w:val="8"/>
        </w:numPr>
      </w:pPr>
      <w:r>
        <w:t>In the interest of transparency, fairness and consumer protection, it is requested that the above issues be reviewed and appropriate corrective measures be considered to ensure parity and compliance with the provisions of the Electricity Act, 2003.</w:t>
      </w:r>
    </w:p>
    <w:p w:rsidR="003169EF" w:rsidRDefault="003169EF" w:rsidP="003169EF">
      <w:pPr>
        <w:pStyle w:val="isselectedend"/>
        <w:ind w:left="720"/>
      </w:pPr>
    </w:p>
    <w:p w:rsidR="00AF3F6F" w:rsidRDefault="00AF3F6F" w:rsidP="00AF3F6F">
      <w:pPr>
        <w:pStyle w:val="isselectedend"/>
        <w:numPr>
          <w:ilvl w:val="0"/>
          <w:numId w:val="8"/>
        </w:numPr>
      </w:pPr>
      <w:r>
        <w:t xml:space="preserve">A detailed clarification </w:t>
      </w:r>
      <w:r w:rsidR="003169EF">
        <w:t xml:space="preserve">along with refund of the illegally penalty charged for ECS system and delayed payment shall be immediately implemented. </w:t>
      </w:r>
      <w:r>
        <w:t>and response is kindly requested.</w:t>
      </w:r>
    </w:p>
    <w:p w:rsidR="003169EF" w:rsidRDefault="003169EF" w:rsidP="003169EF">
      <w:pPr>
        <w:pStyle w:val="ListParagraph"/>
      </w:pPr>
    </w:p>
    <w:p w:rsidR="003169EF" w:rsidRDefault="003169EF" w:rsidP="003169EF">
      <w:pPr>
        <w:pStyle w:val="isselectedend"/>
      </w:pPr>
      <w:r>
        <w:t xml:space="preserve">Jai Hind </w:t>
      </w:r>
    </w:p>
    <w:p w:rsidR="00F34BA8" w:rsidRDefault="00F34BA8"/>
    <w:sectPr w:rsidR="00F34BA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3687" w:rsidRDefault="00D83687" w:rsidP="003B2DD6">
      <w:pPr>
        <w:spacing w:after="0" w:line="240" w:lineRule="auto"/>
      </w:pPr>
      <w:r>
        <w:separator/>
      </w:r>
    </w:p>
  </w:endnote>
  <w:endnote w:type="continuationSeparator" w:id="0">
    <w:p w:rsidR="00D83687" w:rsidRDefault="00D83687" w:rsidP="003B2D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2DD6" w:rsidRDefault="003B2DD6">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2DD6" w:rsidRDefault="003B2DD6">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2DD6" w:rsidRDefault="003B2DD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3687" w:rsidRDefault="00D83687" w:rsidP="003B2DD6">
      <w:pPr>
        <w:spacing w:after="0" w:line="240" w:lineRule="auto"/>
      </w:pPr>
      <w:r>
        <w:separator/>
      </w:r>
    </w:p>
  </w:footnote>
  <w:footnote w:type="continuationSeparator" w:id="0">
    <w:p w:rsidR="00D83687" w:rsidRDefault="00D83687" w:rsidP="003B2D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2DD6" w:rsidRDefault="003B2DD6">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1287113"/>
      <w:docPartObj>
        <w:docPartGallery w:val="Page Numbers (Top of Page)"/>
        <w:docPartUnique/>
      </w:docPartObj>
    </w:sdtPr>
    <w:sdtEndPr>
      <w:rPr>
        <w:noProof/>
      </w:rPr>
    </w:sdtEndPr>
    <w:sdtContent>
      <w:p w:rsidR="003B2DD6" w:rsidRDefault="003B2DD6">
        <w:pPr>
          <w:pStyle w:val="Header"/>
          <w:jc w:val="center"/>
        </w:pPr>
        <w:r>
          <w:fldChar w:fldCharType="begin"/>
        </w:r>
        <w:r>
          <w:instrText xml:space="preserve"> PAGE   \* MERGEFORMAT </w:instrText>
        </w:r>
        <w:r>
          <w:fldChar w:fldCharType="separate"/>
        </w:r>
        <w:r w:rsidR="00ED099D">
          <w:rPr>
            <w:noProof/>
          </w:rPr>
          <w:t>9</w:t>
        </w:r>
        <w:r>
          <w:rPr>
            <w:noProof/>
          </w:rPr>
          <w:fldChar w:fldCharType="end"/>
        </w:r>
      </w:p>
    </w:sdtContent>
  </w:sdt>
  <w:p w:rsidR="003B2DD6" w:rsidRDefault="003B2DD6">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2DD6" w:rsidRDefault="003B2DD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916A15"/>
    <w:multiLevelType w:val="multilevel"/>
    <w:tmpl w:val="C9FC61F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763EDD"/>
    <w:multiLevelType w:val="multilevel"/>
    <w:tmpl w:val="EB582B1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F9F33BE"/>
    <w:multiLevelType w:val="multilevel"/>
    <w:tmpl w:val="81F40C1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5071C95"/>
    <w:multiLevelType w:val="multilevel"/>
    <w:tmpl w:val="7D103E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DD23A20"/>
    <w:multiLevelType w:val="hybridMultilevel"/>
    <w:tmpl w:val="DF7C44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923E3D"/>
    <w:multiLevelType w:val="multilevel"/>
    <w:tmpl w:val="BCC8F30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92215D6"/>
    <w:multiLevelType w:val="multilevel"/>
    <w:tmpl w:val="C8F0478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D4C5C7E"/>
    <w:multiLevelType w:val="hybridMultilevel"/>
    <w:tmpl w:val="DF7C44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3F25782"/>
    <w:multiLevelType w:val="multilevel"/>
    <w:tmpl w:val="9C68C59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5DB3117"/>
    <w:multiLevelType w:val="multilevel"/>
    <w:tmpl w:val="F0FA5E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9"/>
  </w:num>
  <w:num w:numId="4">
    <w:abstractNumId w:val="1"/>
  </w:num>
  <w:num w:numId="5">
    <w:abstractNumId w:val="2"/>
  </w:num>
  <w:num w:numId="6">
    <w:abstractNumId w:val="6"/>
  </w:num>
  <w:num w:numId="7">
    <w:abstractNumId w:val="5"/>
  </w:num>
  <w:num w:numId="8">
    <w:abstractNumId w:val="8"/>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F6F"/>
    <w:rsid w:val="00295AB0"/>
    <w:rsid w:val="003169EF"/>
    <w:rsid w:val="003B2DD6"/>
    <w:rsid w:val="004251FC"/>
    <w:rsid w:val="006B2BB2"/>
    <w:rsid w:val="0094120B"/>
    <w:rsid w:val="00AF3F6F"/>
    <w:rsid w:val="00D83687"/>
    <w:rsid w:val="00DD4B62"/>
    <w:rsid w:val="00ED099D"/>
    <w:rsid w:val="00F34BA8"/>
    <w:rsid w:val="00FF72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31C5C"/>
  <w15:chartTrackingRefBased/>
  <w15:docId w15:val="{150780C0-D9CF-433B-9126-2012CE428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sselectedend">
    <w:name w:val="isselectedend"/>
    <w:basedOn w:val="Normal"/>
    <w:rsid w:val="00AF3F6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F3F6F"/>
    <w:rPr>
      <w:b/>
      <w:bCs/>
    </w:rPr>
  </w:style>
  <w:style w:type="paragraph" w:styleId="NormalWeb">
    <w:name w:val="Normal (Web)"/>
    <w:basedOn w:val="Normal"/>
    <w:uiPriority w:val="99"/>
    <w:semiHidden/>
    <w:unhideWhenUsed/>
    <w:rsid w:val="00AF3F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token-text-primary">
    <w:name w:val="text-token-text-primary"/>
    <w:basedOn w:val="DefaultParagraphFont"/>
    <w:rsid w:val="00AF3F6F"/>
  </w:style>
  <w:style w:type="paragraph" w:styleId="ListParagraph">
    <w:name w:val="List Paragraph"/>
    <w:basedOn w:val="Normal"/>
    <w:uiPriority w:val="34"/>
    <w:qFormat/>
    <w:rsid w:val="003169EF"/>
    <w:pPr>
      <w:ind w:left="720"/>
      <w:contextualSpacing/>
    </w:pPr>
  </w:style>
  <w:style w:type="paragraph" w:styleId="Header">
    <w:name w:val="header"/>
    <w:basedOn w:val="Normal"/>
    <w:link w:val="HeaderChar"/>
    <w:uiPriority w:val="99"/>
    <w:unhideWhenUsed/>
    <w:rsid w:val="003B2D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2DD6"/>
  </w:style>
  <w:style w:type="paragraph" w:styleId="Footer">
    <w:name w:val="footer"/>
    <w:basedOn w:val="Normal"/>
    <w:link w:val="FooterChar"/>
    <w:uiPriority w:val="99"/>
    <w:unhideWhenUsed/>
    <w:rsid w:val="003B2D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2DD6"/>
  </w:style>
  <w:style w:type="table" w:styleId="TableGrid">
    <w:name w:val="Table Grid"/>
    <w:basedOn w:val="TableNormal"/>
    <w:uiPriority w:val="39"/>
    <w:rsid w:val="00DD4B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9390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9</Pages>
  <Words>1790</Words>
  <Characters>10203</Characters>
  <Application>Microsoft Office Word</Application>
  <DocSecurity>0</DocSecurity>
  <Lines>85</Lines>
  <Paragraphs>23</Paragraphs>
  <ScaleCrop>false</ScaleCrop>
  <Company/>
  <LinksUpToDate>false</LinksUpToDate>
  <CharactersWithSpaces>11970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dcterms:created xsi:type="dcterms:W3CDTF">2026-03-08T12:05:00Z</dcterms:created>
  <dcterms:modified xsi:type="dcterms:W3CDTF">2026-03-08T12:28:00Z</dcterms:modified>
</cp:coreProperties>
</file>